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0.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1.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2.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4.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5.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6.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E1C" w:rsidRPr="007533D6" w:rsidRDefault="005B5C4E" w:rsidP="00DD7E1C">
      <w:pPr>
        <w:pStyle w:val="NormalWeb"/>
        <w:spacing w:before="0" w:beforeAutospacing="0" w:after="0" w:afterAutospacing="0"/>
        <w:jc w:val="center"/>
        <w:rPr>
          <w:b/>
          <w:sz w:val="22"/>
          <w:szCs w:val="22"/>
        </w:rPr>
      </w:pPr>
      <w:r>
        <w:rPr>
          <w:noProof/>
        </w:rPr>
        <w:drawing>
          <wp:anchor distT="0" distB="0" distL="114300" distR="114300" simplePos="0" relativeHeight="251658240" behindDoc="1" locked="0" layoutInCell="1" allowOverlap="1" wp14:anchorId="462A51AC" wp14:editId="608C1CE8">
            <wp:simplePos x="0" y="0"/>
            <wp:positionH relativeFrom="column">
              <wp:posOffset>-300355</wp:posOffset>
            </wp:positionH>
            <wp:positionV relativeFrom="paragraph">
              <wp:posOffset>895350</wp:posOffset>
            </wp:positionV>
            <wp:extent cx="900000" cy="8955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tefpl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0000" cy="895500"/>
                    </a:xfrm>
                    <a:prstGeom prst="rect">
                      <a:avLst/>
                    </a:prstGeom>
                  </pic:spPr>
                </pic:pic>
              </a:graphicData>
            </a:graphic>
            <wp14:sizeRelH relativeFrom="page">
              <wp14:pctWidth>0</wp14:pctWidth>
            </wp14:sizeRelH>
            <wp14:sizeRelV relativeFrom="page">
              <wp14:pctHeight>0</wp14:pctHeight>
            </wp14:sizeRelV>
          </wp:anchor>
        </w:drawing>
      </w:r>
      <w:r w:rsidR="00DD7E1C" w:rsidRPr="007533D6">
        <w:rPr>
          <w:noProof/>
          <w:sz w:val="22"/>
          <w:szCs w:val="22"/>
        </w:rPr>
        <w:drawing>
          <wp:inline distT="0" distB="0" distL="0" distR="0" wp14:anchorId="5EEDA18E" wp14:editId="5D5BA458">
            <wp:extent cx="2209800" cy="891673"/>
            <wp:effectExtent l="0" t="0" r="0" b="3810"/>
            <wp:docPr id="2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cstate="print"/>
                    <a:srcRect/>
                    <a:stretch>
                      <a:fillRect/>
                    </a:stretch>
                  </pic:blipFill>
                  <pic:spPr bwMode="auto">
                    <a:xfrm>
                      <a:off x="0" y="0"/>
                      <a:ext cx="2212445" cy="892740"/>
                    </a:xfrm>
                    <a:prstGeom prst="rect">
                      <a:avLst/>
                    </a:prstGeom>
                    <a:noFill/>
                    <a:ln w="9525">
                      <a:noFill/>
                      <a:miter lim="800000"/>
                      <a:headEnd/>
                      <a:tailEnd/>
                    </a:ln>
                  </pic:spPr>
                </pic:pic>
              </a:graphicData>
            </a:graphic>
          </wp:inline>
        </w:drawing>
      </w:r>
    </w:p>
    <w:p w:rsidR="00DD7E1C" w:rsidRDefault="00DD7E1C" w:rsidP="00DD7E1C">
      <w:pPr>
        <w:pStyle w:val="NormalWeb"/>
        <w:spacing w:before="0" w:beforeAutospacing="0" w:after="0" w:afterAutospacing="0"/>
        <w:jc w:val="center"/>
        <w:rPr>
          <w:b/>
          <w:sz w:val="22"/>
          <w:szCs w:val="22"/>
        </w:rPr>
      </w:pPr>
      <w:r w:rsidRPr="007533D6">
        <w:rPr>
          <w:b/>
          <w:sz w:val="22"/>
          <w:szCs w:val="22"/>
        </w:rPr>
        <w:t xml:space="preserve">MINISTERE DU TRAVAIL, DE L’EMPLOI, </w:t>
      </w:r>
    </w:p>
    <w:p w:rsidR="00DD7E1C" w:rsidRDefault="00DD7E1C" w:rsidP="00DD7E1C">
      <w:pPr>
        <w:pStyle w:val="NormalWeb"/>
        <w:spacing w:before="0" w:beforeAutospacing="0" w:after="0" w:afterAutospacing="0"/>
        <w:jc w:val="center"/>
        <w:rPr>
          <w:b/>
          <w:sz w:val="22"/>
          <w:szCs w:val="22"/>
        </w:rPr>
      </w:pPr>
      <w:r w:rsidRPr="007533D6">
        <w:rPr>
          <w:b/>
          <w:sz w:val="22"/>
          <w:szCs w:val="22"/>
        </w:rPr>
        <w:t>DE LA FONCTION PUBLIQUE ET DES LOIS SOCIALES</w:t>
      </w:r>
    </w:p>
    <w:p w:rsidR="00DD7E1C" w:rsidRPr="007533D6" w:rsidRDefault="00DD7E1C" w:rsidP="00DD7E1C">
      <w:pPr>
        <w:pStyle w:val="NormalWeb"/>
        <w:spacing w:before="0" w:beforeAutospacing="0" w:after="0" w:afterAutospacing="0"/>
        <w:jc w:val="center"/>
        <w:rPr>
          <w:b/>
          <w:sz w:val="22"/>
          <w:szCs w:val="22"/>
        </w:rPr>
      </w:pPr>
      <w:r>
        <w:rPr>
          <w:b/>
          <w:sz w:val="22"/>
          <w:szCs w:val="22"/>
        </w:rPr>
        <w:t>* * * * *</w:t>
      </w:r>
    </w:p>
    <w:p w:rsidR="00DD7E1C" w:rsidRDefault="00DD7E1C" w:rsidP="00DD7E1C">
      <w:pPr>
        <w:pStyle w:val="NormalWeb"/>
        <w:spacing w:before="0" w:beforeAutospacing="0" w:after="0" w:afterAutospacing="0"/>
        <w:jc w:val="center"/>
        <w:rPr>
          <w:b/>
          <w:sz w:val="22"/>
          <w:szCs w:val="22"/>
        </w:rPr>
      </w:pPr>
      <w:r w:rsidRPr="007533D6">
        <w:rPr>
          <w:b/>
          <w:sz w:val="22"/>
          <w:szCs w:val="22"/>
        </w:rPr>
        <w:t>SECRETRIAT GENERAL</w:t>
      </w:r>
    </w:p>
    <w:p w:rsidR="00DD7E1C" w:rsidRPr="007533D6" w:rsidRDefault="00DD7E1C" w:rsidP="00DD7E1C">
      <w:pPr>
        <w:pStyle w:val="NormalWeb"/>
        <w:spacing w:before="0" w:beforeAutospacing="0" w:after="0" w:afterAutospacing="0"/>
        <w:jc w:val="center"/>
        <w:rPr>
          <w:b/>
          <w:sz w:val="22"/>
          <w:szCs w:val="22"/>
        </w:rPr>
      </w:pPr>
      <w:r>
        <w:rPr>
          <w:b/>
          <w:sz w:val="22"/>
          <w:szCs w:val="22"/>
        </w:rPr>
        <w:t>* * * * * * *</w:t>
      </w:r>
    </w:p>
    <w:p w:rsidR="00DD7E1C" w:rsidRPr="005358C1" w:rsidRDefault="00DD7E1C" w:rsidP="005358C1">
      <w:pPr>
        <w:pStyle w:val="NormalWeb"/>
        <w:spacing w:before="0" w:beforeAutospacing="0" w:after="0" w:afterAutospacing="0"/>
        <w:jc w:val="center"/>
        <w:rPr>
          <w:b/>
          <w:sz w:val="22"/>
          <w:szCs w:val="22"/>
        </w:rPr>
      </w:pPr>
      <w:r w:rsidRPr="005358C1">
        <w:rPr>
          <w:b/>
          <w:sz w:val="22"/>
          <w:szCs w:val="22"/>
        </w:rPr>
        <w:t>SERVICE DES STATISTIQUES ET DES AFFAIRES GENERALES</w:t>
      </w:r>
    </w:p>
    <w:p w:rsidR="00DD7E1C" w:rsidRPr="007533D6" w:rsidRDefault="00DD7E1C" w:rsidP="00DD7E1C">
      <w:pPr>
        <w:jc w:val="center"/>
      </w:pPr>
      <w:r>
        <w:rPr>
          <w:b/>
        </w:rPr>
        <w:t>* * * * * * * * * * * *</w:t>
      </w:r>
    </w:p>
    <w:p w:rsidR="00DD7E1C" w:rsidRDefault="00DD7E1C" w:rsidP="00DF5FC4">
      <w:pPr>
        <w:spacing w:after="240"/>
        <w:outlineLvl w:val="0"/>
      </w:pPr>
    </w:p>
    <w:p w:rsidR="00DD7E1C" w:rsidRDefault="00DD7E1C" w:rsidP="00DF5FC4">
      <w:pPr>
        <w:spacing w:after="240"/>
        <w:outlineLvl w:val="0"/>
      </w:pPr>
    </w:p>
    <w:p w:rsidR="00DD7E1C" w:rsidRDefault="00DD7E1C" w:rsidP="00DF5FC4">
      <w:pPr>
        <w:spacing w:after="240"/>
        <w:outlineLvl w:val="0"/>
      </w:pPr>
    </w:p>
    <w:p w:rsidR="00DD7E1C" w:rsidRDefault="00DD7E1C" w:rsidP="00DF5FC4">
      <w:pPr>
        <w:spacing w:after="240"/>
        <w:outlineLvl w:val="0"/>
      </w:pPr>
    </w:p>
    <w:p w:rsidR="00DD7E1C" w:rsidRDefault="00DD7E1C" w:rsidP="00DF5FC4">
      <w:pPr>
        <w:spacing w:after="240"/>
        <w:outlineLvl w:val="0"/>
      </w:pPr>
    </w:p>
    <w:p w:rsidR="00DD7E1C" w:rsidRDefault="00DD7E1C" w:rsidP="00DF5FC4">
      <w:pPr>
        <w:spacing w:after="240"/>
        <w:outlineLvl w:val="0"/>
      </w:pPr>
    </w:p>
    <w:p w:rsidR="00DD7E1C" w:rsidRPr="00DD7E1C" w:rsidRDefault="005B5C4E" w:rsidP="00DD7E1C">
      <w:pPr>
        <w:spacing w:after="240"/>
        <w:jc w:val="center"/>
        <w:outlineLvl w:val="0"/>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RECUEIL</w:t>
      </w:r>
      <w:r w:rsidR="00DD7E1C" w:rsidRPr="00DD7E1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DD7E1C" w:rsidRPr="00DD7E1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DONNEES STATISTIQUES</w:t>
      </w:r>
    </w:p>
    <w:p w:rsidR="00DD7E1C" w:rsidRPr="00DD7E1C" w:rsidRDefault="00DD7E1C" w:rsidP="00DD7E1C">
      <w:pPr>
        <w:spacing w:after="240"/>
        <w:jc w:val="center"/>
        <w:outlineLvl w:val="0"/>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E1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w:t>
      </w:r>
      <w:r w:rsidR="005B5C4E">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DD7E1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DIX DIRECTION</w:t>
      </w:r>
      <w:r w:rsidR="005B5C4E">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DD7E1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REGIONALE</w:t>
      </w:r>
      <w:r w:rsidR="005B5C4E">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DD7E1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 MTEFPLS</w:t>
      </w:r>
    </w:p>
    <w:p w:rsidR="00BE4B1C" w:rsidRPr="00DD7E1C" w:rsidRDefault="00DD7E1C" w:rsidP="00DD7E1C">
      <w:pPr>
        <w:spacing w:after="240"/>
        <w:jc w:val="center"/>
        <w:outlineLvl w:val="0"/>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E1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L’ANNEE 2022</w:t>
      </w:r>
    </w:p>
    <w:p w:rsidR="00DD7E1C" w:rsidRDefault="00DD7E1C" w:rsidP="00453928">
      <w:pPr>
        <w:jc w:val="both"/>
      </w:pPr>
    </w:p>
    <w:p w:rsidR="00DD7E1C" w:rsidRDefault="00DD7E1C" w:rsidP="00453928">
      <w:pPr>
        <w:jc w:val="both"/>
      </w:pPr>
    </w:p>
    <w:p w:rsidR="00DD7E1C" w:rsidRDefault="00DD7E1C" w:rsidP="00453928">
      <w:pPr>
        <w:jc w:val="both"/>
      </w:pPr>
    </w:p>
    <w:p w:rsidR="00DD7E1C" w:rsidRDefault="00DD7E1C" w:rsidP="00453928">
      <w:pPr>
        <w:jc w:val="both"/>
      </w:pPr>
    </w:p>
    <w:p w:rsidR="00DD7E1C" w:rsidRDefault="00DD7E1C" w:rsidP="00453928">
      <w:pPr>
        <w:jc w:val="both"/>
      </w:pPr>
    </w:p>
    <w:p w:rsidR="00DD7E1C" w:rsidRDefault="00DD7E1C" w:rsidP="00453928">
      <w:pPr>
        <w:jc w:val="both"/>
      </w:pPr>
    </w:p>
    <w:p w:rsidR="00DD7E1C" w:rsidRDefault="00DD7E1C" w:rsidP="00453928">
      <w:pPr>
        <w:jc w:val="both"/>
      </w:pPr>
    </w:p>
    <w:p w:rsidR="00A12DEE" w:rsidRDefault="00A12DEE" w:rsidP="00453928">
      <w:pPr>
        <w:jc w:val="both"/>
      </w:pPr>
    </w:p>
    <w:p w:rsidR="00A12DEE" w:rsidRDefault="00A12DEE" w:rsidP="00453928">
      <w:pPr>
        <w:jc w:val="both"/>
      </w:pPr>
    </w:p>
    <w:p w:rsidR="00A12DEE" w:rsidRDefault="00A12DEE" w:rsidP="00A12DEE">
      <w:pPr>
        <w:jc w:val="center"/>
      </w:pPr>
    </w:p>
    <w:p w:rsidR="00A12DEE" w:rsidRPr="00A12DEE" w:rsidRDefault="00A12DEE" w:rsidP="00A12DEE">
      <w:pPr>
        <w:jc w:val="center"/>
        <w:rPr>
          <w:rFonts w:ascii="Times New Roman" w:hAnsi="Times New Roman" w:cs="Times New Roman"/>
          <w:sz w:val="24"/>
          <w:szCs w:val="24"/>
        </w:rPr>
      </w:pPr>
      <w:r w:rsidRPr="00A12DEE">
        <w:rPr>
          <w:rFonts w:ascii="Times New Roman" w:hAnsi="Times New Roman" w:cs="Times New Roman"/>
          <w:sz w:val="24"/>
          <w:szCs w:val="24"/>
        </w:rPr>
        <w:t>Juillet 2023</w:t>
      </w:r>
    </w:p>
    <w:p w:rsidR="00A12DEE" w:rsidRPr="00A12DEE" w:rsidRDefault="00A12DEE" w:rsidP="00453928">
      <w:pPr>
        <w:jc w:val="both"/>
        <w:rPr>
          <w:rFonts w:ascii="Times New Roman" w:hAnsi="Times New Roman" w:cs="Times New Roman"/>
          <w:sz w:val="24"/>
          <w:szCs w:val="24"/>
        </w:rPr>
      </w:pPr>
    </w:p>
    <w:p w:rsidR="00A12DEE" w:rsidRPr="00A12DEE" w:rsidRDefault="00A12DEE" w:rsidP="00453928">
      <w:pPr>
        <w:jc w:val="both"/>
        <w:rPr>
          <w:rFonts w:ascii="Times New Roman" w:hAnsi="Times New Roman" w:cs="Times New Roman"/>
          <w:sz w:val="24"/>
          <w:szCs w:val="24"/>
        </w:rPr>
        <w:sectPr w:rsidR="00A12DEE" w:rsidRPr="00A12DEE" w:rsidSect="00A12DEE">
          <w:footerReference w:type="default" r:id="rId10"/>
          <w:pgSz w:w="11906" w:h="16838"/>
          <w:pgMar w:top="1134" w:right="1418" w:bottom="1134" w:left="1418" w:header="709" w:footer="709" w:gutter="0"/>
          <w:cols w:space="708"/>
          <w:titlePg/>
          <w:docGrid w:linePitch="360"/>
        </w:sectPr>
      </w:pPr>
    </w:p>
    <w:p w:rsidR="00DF063A" w:rsidRDefault="00DF063A">
      <w:r>
        <w:lastRenderedPageBreak/>
        <w:br w:type="page"/>
      </w:r>
    </w:p>
    <w:p w:rsidR="00DF063A" w:rsidRPr="00DF063A" w:rsidRDefault="00DF063A" w:rsidP="00C44E99">
      <w:pPr>
        <w:pStyle w:val="Paragraphedeliste"/>
        <w:spacing w:after="120"/>
        <w:ind w:left="227"/>
        <w:outlineLvl w:val="1"/>
        <w:rPr>
          <w:rFonts w:ascii="Times New Roman" w:hAnsi="Times New Roman" w:cs="Times New Roman"/>
          <w:b/>
          <w:sz w:val="24"/>
          <w:szCs w:val="24"/>
        </w:rPr>
      </w:pPr>
      <w:r w:rsidRPr="00DF063A">
        <w:rPr>
          <w:rFonts w:ascii="Times New Roman" w:hAnsi="Times New Roman" w:cs="Times New Roman"/>
          <w:b/>
          <w:sz w:val="24"/>
          <w:szCs w:val="24"/>
        </w:rPr>
        <w:lastRenderedPageBreak/>
        <w:t>Introduction</w:t>
      </w:r>
    </w:p>
    <w:p w:rsidR="00E66A4D" w:rsidRPr="00DF063A" w:rsidRDefault="00C9075F" w:rsidP="00453928">
      <w:pPr>
        <w:jc w:val="both"/>
        <w:rPr>
          <w:rFonts w:ascii="Times New Roman" w:hAnsi="Times New Roman" w:cs="Times New Roman"/>
          <w:sz w:val="24"/>
          <w:szCs w:val="24"/>
        </w:rPr>
      </w:pPr>
      <w:r w:rsidRPr="00DF063A">
        <w:rPr>
          <w:rFonts w:ascii="Times New Roman" w:hAnsi="Times New Roman" w:cs="Times New Roman"/>
          <w:sz w:val="24"/>
          <w:szCs w:val="24"/>
        </w:rPr>
        <w:t xml:space="preserve">L’objet du présent rapport est de </w:t>
      </w:r>
      <w:r w:rsidR="00E66A4D" w:rsidRPr="00DF063A">
        <w:rPr>
          <w:rFonts w:ascii="Times New Roman" w:hAnsi="Times New Roman" w:cs="Times New Roman"/>
          <w:sz w:val="24"/>
          <w:szCs w:val="24"/>
        </w:rPr>
        <w:t>résumer</w:t>
      </w:r>
      <w:r w:rsidRPr="00DF063A">
        <w:rPr>
          <w:rFonts w:ascii="Times New Roman" w:hAnsi="Times New Roman" w:cs="Times New Roman"/>
          <w:sz w:val="24"/>
          <w:szCs w:val="24"/>
        </w:rPr>
        <w:t xml:space="preserve"> les données </w:t>
      </w:r>
      <w:r w:rsidR="00453928" w:rsidRPr="00DF063A">
        <w:rPr>
          <w:rFonts w:ascii="Times New Roman" w:hAnsi="Times New Roman" w:cs="Times New Roman"/>
          <w:sz w:val="24"/>
          <w:szCs w:val="24"/>
        </w:rPr>
        <w:t xml:space="preserve">sur les bénéficiaires des services de dix Direction Régionales (DR) du Ministère du Travail, de l’Emploi, de la Fonction Publique et des Lois Sociales (MTEFPLS). Ces chiffres concernent l’année 2022. Ils ont été </w:t>
      </w:r>
      <w:r w:rsidRPr="00DF063A">
        <w:rPr>
          <w:rFonts w:ascii="Times New Roman" w:hAnsi="Times New Roman" w:cs="Times New Roman"/>
          <w:sz w:val="24"/>
          <w:szCs w:val="24"/>
        </w:rPr>
        <w:t>fournies par le Service de la Coordination des Activités des Organismes rattachés/Régionales</w:t>
      </w:r>
      <w:r w:rsidR="00E660BC">
        <w:rPr>
          <w:rFonts w:ascii="Times New Roman" w:hAnsi="Times New Roman" w:cs="Times New Roman"/>
          <w:sz w:val="24"/>
          <w:szCs w:val="24"/>
        </w:rPr>
        <w:t xml:space="preserve"> (SCAOR)</w:t>
      </w:r>
      <w:r w:rsidR="00453928" w:rsidRPr="00DF063A">
        <w:rPr>
          <w:rFonts w:ascii="Times New Roman" w:hAnsi="Times New Roman" w:cs="Times New Roman"/>
          <w:sz w:val="24"/>
          <w:szCs w:val="24"/>
        </w:rPr>
        <w:t>, is</w:t>
      </w:r>
      <w:r w:rsidR="006C2D13">
        <w:rPr>
          <w:rFonts w:ascii="Times New Roman" w:hAnsi="Times New Roman" w:cs="Times New Roman"/>
          <w:sz w:val="24"/>
          <w:szCs w:val="24"/>
        </w:rPr>
        <w:t>sus des rapports d’activités de ces</w:t>
      </w:r>
      <w:r w:rsidR="00453928" w:rsidRPr="00DF063A">
        <w:rPr>
          <w:rFonts w:ascii="Times New Roman" w:hAnsi="Times New Roman" w:cs="Times New Roman"/>
          <w:sz w:val="24"/>
          <w:szCs w:val="24"/>
        </w:rPr>
        <w:t xml:space="preserve"> DR</w:t>
      </w:r>
      <w:r w:rsidR="00E66A4D" w:rsidRPr="00DF063A">
        <w:rPr>
          <w:rFonts w:ascii="Times New Roman" w:hAnsi="Times New Roman" w:cs="Times New Roman"/>
          <w:sz w:val="24"/>
          <w:szCs w:val="24"/>
        </w:rPr>
        <w:t>. Plus précisément, le but est de mo</w:t>
      </w:r>
      <w:r w:rsidR="00DF063A">
        <w:rPr>
          <w:rFonts w:ascii="Times New Roman" w:hAnsi="Times New Roman" w:cs="Times New Roman"/>
          <w:sz w:val="24"/>
          <w:szCs w:val="24"/>
        </w:rPr>
        <w:t>ntrer la répartition selon les R</w:t>
      </w:r>
      <w:r w:rsidR="00E66A4D" w:rsidRPr="00DF063A">
        <w:rPr>
          <w:rFonts w:ascii="Times New Roman" w:hAnsi="Times New Roman" w:cs="Times New Roman"/>
          <w:sz w:val="24"/>
          <w:szCs w:val="24"/>
        </w:rPr>
        <w:t xml:space="preserve">égions </w:t>
      </w:r>
      <w:r w:rsidR="00DF063A">
        <w:rPr>
          <w:rFonts w:ascii="Times New Roman" w:hAnsi="Times New Roman" w:cs="Times New Roman"/>
          <w:sz w:val="24"/>
          <w:szCs w:val="24"/>
        </w:rPr>
        <w:t xml:space="preserve">de localisation </w:t>
      </w:r>
      <w:r w:rsidR="00E66A4D" w:rsidRPr="00DF063A">
        <w:rPr>
          <w:rFonts w:ascii="Times New Roman" w:hAnsi="Times New Roman" w:cs="Times New Roman"/>
          <w:sz w:val="24"/>
          <w:szCs w:val="24"/>
        </w:rPr>
        <w:t>des usagers ayant recourt aux services de ces DR.</w:t>
      </w:r>
    </w:p>
    <w:p w:rsidR="00DF5FC4" w:rsidRPr="00DF063A" w:rsidRDefault="00453928" w:rsidP="00453928">
      <w:pPr>
        <w:jc w:val="both"/>
        <w:rPr>
          <w:rFonts w:ascii="Times New Roman" w:hAnsi="Times New Roman" w:cs="Times New Roman"/>
          <w:sz w:val="24"/>
          <w:szCs w:val="24"/>
        </w:rPr>
      </w:pPr>
      <w:r w:rsidRPr="00DF063A">
        <w:rPr>
          <w:rFonts w:ascii="Times New Roman" w:hAnsi="Times New Roman" w:cs="Times New Roman"/>
          <w:sz w:val="24"/>
          <w:szCs w:val="24"/>
        </w:rPr>
        <w:t>Le traitement a été effectué au moyen d’un logiciel tableur.</w:t>
      </w:r>
      <w:r w:rsidR="00E66A4D" w:rsidRPr="00DF063A">
        <w:rPr>
          <w:rFonts w:ascii="Times New Roman" w:hAnsi="Times New Roman" w:cs="Times New Roman"/>
          <w:sz w:val="24"/>
          <w:szCs w:val="24"/>
        </w:rPr>
        <w:t xml:space="preserve"> Les données reçues ont été premièrement apurées, puis consolidées et enfin les graphiques ont été construites.</w:t>
      </w:r>
      <w:r w:rsidR="00DF063A">
        <w:rPr>
          <w:rFonts w:ascii="Times New Roman" w:hAnsi="Times New Roman" w:cs="Times New Roman"/>
          <w:sz w:val="24"/>
          <w:szCs w:val="24"/>
        </w:rPr>
        <w:t xml:space="preserve"> En raison du volume de données et du </w:t>
      </w:r>
      <w:proofErr w:type="spellStart"/>
      <w:r w:rsidR="00DF063A">
        <w:rPr>
          <w:rFonts w:ascii="Times New Roman" w:hAnsi="Times New Roman" w:cs="Times New Roman"/>
          <w:sz w:val="24"/>
          <w:szCs w:val="24"/>
        </w:rPr>
        <w:t>r</w:t>
      </w:r>
      <w:r w:rsidR="00DF063A">
        <w:rPr>
          <w:rFonts w:ascii="Times New Roman" w:hAnsi="Times New Roman" w:cs="Times New Roman"/>
          <w:sz w:val="24"/>
          <w:szCs w:val="24"/>
        </w:rPr>
        <w:tab/>
        <w:t>apport</w:t>
      </w:r>
      <w:proofErr w:type="spellEnd"/>
      <w:r w:rsidR="00DF063A">
        <w:rPr>
          <w:rFonts w:ascii="Times New Roman" w:hAnsi="Times New Roman" w:cs="Times New Roman"/>
          <w:sz w:val="24"/>
          <w:szCs w:val="24"/>
        </w:rPr>
        <w:t xml:space="preserve"> déjà établi pour les données statistiques</w:t>
      </w:r>
      <w:r w:rsidR="006C23D2">
        <w:rPr>
          <w:rFonts w:ascii="Times New Roman" w:hAnsi="Times New Roman" w:cs="Times New Roman"/>
          <w:sz w:val="24"/>
          <w:szCs w:val="24"/>
        </w:rPr>
        <w:t xml:space="preserve"> du Ministère central</w:t>
      </w:r>
      <w:r w:rsidR="00DF063A">
        <w:rPr>
          <w:rFonts w:ascii="Times New Roman" w:hAnsi="Times New Roman" w:cs="Times New Roman"/>
          <w:sz w:val="24"/>
          <w:szCs w:val="24"/>
        </w:rPr>
        <w:t xml:space="preserve"> de l’année 2022</w:t>
      </w:r>
      <w:r w:rsidR="006C23D2">
        <w:rPr>
          <w:rFonts w:ascii="Times New Roman" w:hAnsi="Times New Roman" w:cs="Times New Roman"/>
          <w:sz w:val="24"/>
          <w:szCs w:val="24"/>
        </w:rPr>
        <w:t>, un document distinct a été élaboré.</w:t>
      </w:r>
    </w:p>
    <w:p w:rsidR="00E66A4D" w:rsidRPr="00DF063A" w:rsidRDefault="00DF063A" w:rsidP="00DF063A">
      <w:pPr>
        <w:jc w:val="both"/>
        <w:rPr>
          <w:rFonts w:ascii="Times New Roman" w:hAnsi="Times New Roman" w:cs="Times New Roman"/>
          <w:sz w:val="24"/>
          <w:szCs w:val="24"/>
        </w:rPr>
      </w:pPr>
      <w:r>
        <w:rPr>
          <w:rFonts w:ascii="Times New Roman" w:hAnsi="Times New Roman" w:cs="Times New Roman"/>
          <w:sz w:val="24"/>
          <w:szCs w:val="24"/>
        </w:rPr>
        <w:t>Conformément à l’organigramme</w:t>
      </w:r>
      <w:r w:rsidR="00E66A4D" w:rsidRPr="00DF063A">
        <w:rPr>
          <w:rFonts w:ascii="Times New Roman" w:hAnsi="Times New Roman" w:cs="Times New Roman"/>
          <w:sz w:val="24"/>
          <w:szCs w:val="24"/>
        </w:rPr>
        <w:t xml:space="preserve"> des DR, ce document est structu</w:t>
      </w:r>
      <w:r>
        <w:rPr>
          <w:rFonts w:ascii="Times New Roman" w:hAnsi="Times New Roman" w:cs="Times New Roman"/>
          <w:sz w:val="24"/>
          <w:szCs w:val="24"/>
        </w:rPr>
        <w:t xml:space="preserve">ré en trois sections à savoir : </w:t>
      </w:r>
      <w:r w:rsidR="00E66A4D" w:rsidRPr="00DF063A">
        <w:rPr>
          <w:rFonts w:ascii="Times New Roman" w:hAnsi="Times New Roman" w:cs="Times New Roman"/>
          <w:sz w:val="24"/>
          <w:szCs w:val="24"/>
        </w:rPr>
        <w:t>S</w:t>
      </w:r>
      <w:r>
        <w:rPr>
          <w:rFonts w:ascii="Times New Roman" w:hAnsi="Times New Roman" w:cs="Times New Roman"/>
          <w:sz w:val="24"/>
          <w:szCs w:val="24"/>
        </w:rPr>
        <w:t xml:space="preserve">ervice Travail, Service Emploi, et </w:t>
      </w:r>
      <w:r w:rsidR="00E66A4D" w:rsidRPr="00DF063A">
        <w:rPr>
          <w:rFonts w:ascii="Times New Roman" w:hAnsi="Times New Roman" w:cs="Times New Roman"/>
          <w:sz w:val="24"/>
          <w:szCs w:val="24"/>
        </w:rPr>
        <w:t>Service Fonction Publique.</w:t>
      </w:r>
    </w:p>
    <w:p w:rsidR="00453928" w:rsidRDefault="00453928" w:rsidP="00453928">
      <w:pPr>
        <w:jc w:val="both"/>
      </w:pPr>
    </w:p>
    <w:p w:rsidR="00DF5FC4" w:rsidRPr="00EF6589" w:rsidRDefault="00DF5FC4" w:rsidP="00EF6589">
      <w:pPr>
        <w:pStyle w:val="Paragraphedeliste"/>
        <w:numPr>
          <w:ilvl w:val="1"/>
          <w:numId w:val="5"/>
        </w:numPr>
        <w:spacing w:after="120"/>
        <w:outlineLvl w:val="1"/>
        <w:rPr>
          <w:rFonts w:ascii="Times New Roman" w:hAnsi="Times New Roman" w:cs="Times New Roman"/>
          <w:b/>
          <w:sz w:val="24"/>
          <w:szCs w:val="24"/>
        </w:rPr>
      </w:pPr>
      <w:r w:rsidRPr="00EF6589">
        <w:rPr>
          <w:rFonts w:ascii="Times New Roman" w:hAnsi="Times New Roman" w:cs="Times New Roman"/>
          <w:b/>
          <w:sz w:val="24"/>
          <w:szCs w:val="24"/>
        </w:rPr>
        <w:t>Service TRAVAIL : Inspection du travail, conseil des usagers, visas et autorisation</w:t>
      </w:r>
    </w:p>
    <w:p w:rsidR="00DF5FC4"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Visites (Inspection de travail)</w:t>
      </w:r>
      <w:r w:rsidR="005013C9">
        <w:rPr>
          <w:rFonts w:ascii="Times New Roman" w:hAnsi="Times New Roman" w:cs="Times New Roman"/>
          <w:b/>
          <w:i/>
          <w:sz w:val="24"/>
          <w:szCs w:val="24"/>
        </w:rPr>
        <w:t> :</w:t>
      </w:r>
      <w:r w:rsidR="00E66A4D">
        <w:rPr>
          <w:rFonts w:ascii="Times New Roman" w:hAnsi="Times New Roman" w:cs="Times New Roman"/>
          <w:b/>
          <w:i/>
          <w:sz w:val="24"/>
          <w:szCs w:val="24"/>
        </w:rPr>
        <w:t xml:space="preserve"> </w:t>
      </w:r>
      <w:r w:rsidR="004B1383">
        <w:rPr>
          <w:rFonts w:ascii="Times New Roman" w:hAnsi="Times New Roman" w:cs="Times New Roman"/>
          <w:b/>
          <w:i/>
          <w:sz w:val="24"/>
          <w:szCs w:val="24"/>
        </w:rPr>
        <w:t>597 établissements</w:t>
      </w:r>
      <w:r w:rsidR="005013C9">
        <w:rPr>
          <w:rFonts w:ascii="Times New Roman" w:hAnsi="Times New Roman" w:cs="Times New Roman"/>
          <w:b/>
          <w:i/>
          <w:sz w:val="24"/>
          <w:szCs w:val="24"/>
        </w:rPr>
        <w:t xml:space="preserve"> inspectés</w:t>
      </w:r>
      <w:r w:rsidR="004B1383">
        <w:rPr>
          <w:rFonts w:ascii="Times New Roman" w:hAnsi="Times New Roman" w:cs="Times New Roman"/>
          <w:b/>
          <w:i/>
          <w:sz w:val="24"/>
          <w:szCs w:val="24"/>
        </w:rPr>
        <w:t>,</w:t>
      </w:r>
      <w:r w:rsidR="00AC626D">
        <w:rPr>
          <w:rFonts w:ascii="Times New Roman" w:hAnsi="Times New Roman" w:cs="Times New Roman"/>
          <w:b/>
          <w:i/>
          <w:sz w:val="24"/>
          <w:szCs w:val="24"/>
        </w:rPr>
        <w:t xml:space="preserve"> 74% des établissements dans les Régions SAVA, </w:t>
      </w:r>
      <w:proofErr w:type="spellStart"/>
      <w:r w:rsidR="00AC626D">
        <w:rPr>
          <w:rFonts w:ascii="Times New Roman" w:hAnsi="Times New Roman" w:cs="Times New Roman"/>
          <w:b/>
          <w:i/>
          <w:sz w:val="24"/>
          <w:szCs w:val="24"/>
        </w:rPr>
        <w:t>Analamanga</w:t>
      </w:r>
      <w:proofErr w:type="spellEnd"/>
      <w:r w:rsidR="00AC626D">
        <w:rPr>
          <w:rFonts w:ascii="Times New Roman" w:hAnsi="Times New Roman" w:cs="Times New Roman"/>
          <w:b/>
          <w:i/>
          <w:sz w:val="24"/>
          <w:szCs w:val="24"/>
        </w:rPr>
        <w:t xml:space="preserve">, et </w:t>
      </w:r>
      <w:proofErr w:type="spellStart"/>
      <w:r w:rsidR="00AC626D">
        <w:rPr>
          <w:rFonts w:ascii="Times New Roman" w:hAnsi="Times New Roman" w:cs="Times New Roman"/>
          <w:b/>
          <w:i/>
          <w:sz w:val="24"/>
          <w:szCs w:val="24"/>
        </w:rPr>
        <w:t>Vakinankaratra</w:t>
      </w:r>
      <w:proofErr w:type="spellEnd"/>
    </w:p>
    <w:p w:rsidR="00D977A6" w:rsidRPr="00A55236" w:rsidRDefault="00A55236" w:rsidP="00A55236">
      <w:pPr>
        <w:pStyle w:val="Lgende"/>
        <w:spacing w:after="0"/>
        <w:rPr>
          <w:rFonts w:ascii="Times New Roman" w:hAnsi="Times New Roman" w:cs="Times New Roman"/>
          <w:sz w:val="22"/>
          <w:szCs w:val="22"/>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w:t>
      </w:r>
      <w:r w:rsidRPr="00A55236">
        <w:rPr>
          <w:sz w:val="22"/>
          <w:szCs w:val="22"/>
        </w:rPr>
        <w:fldChar w:fldCharType="end"/>
      </w:r>
      <w:r w:rsidRPr="00A55236">
        <w:rPr>
          <w:sz w:val="22"/>
          <w:szCs w:val="22"/>
        </w:rPr>
        <w:t>.</w:t>
      </w:r>
      <w:r>
        <w:rPr>
          <w:sz w:val="22"/>
          <w:szCs w:val="22"/>
        </w:rPr>
        <w:t xml:space="preserve"> Répartition des établissements visités selon le</w:t>
      </w:r>
      <w:r w:rsidR="00B47A0B">
        <w:rPr>
          <w:sz w:val="22"/>
          <w:szCs w:val="22"/>
        </w:rPr>
        <w:t>ur</w:t>
      </w:r>
      <w:r>
        <w:rPr>
          <w:sz w:val="22"/>
          <w:szCs w:val="22"/>
        </w:rPr>
        <w:t>s Régions d’implantation</w:t>
      </w:r>
    </w:p>
    <w:p w:rsidR="00D977A6" w:rsidRPr="00D977A6" w:rsidRDefault="008B1A8C" w:rsidP="00A55236">
      <w:pPr>
        <w:spacing w:after="0"/>
        <w:jc w:val="center"/>
        <w:rPr>
          <w:rFonts w:ascii="Times New Roman" w:hAnsi="Times New Roman" w:cs="Times New Roman"/>
          <w:sz w:val="24"/>
          <w:szCs w:val="24"/>
        </w:rPr>
      </w:pPr>
      <w:r>
        <w:rPr>
          <w:noProof/>
          <w:lang w:eastAsia="fr-FR"/>
        </w:rPr>
        <w:drawing>
          <wp:inline distT="0" distB="0" distL="0" distR="0" wp14:anchorId="26F9AE11" wp14:editId="6D067CBA">
            <wp:extent cx="5760720" cy="2068830"/>
            <wp:effectExtent l="0" t="0" r="11430" b="762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lang w:eastAsia="fr-FR"/>
        </w:rPr>
        <w:t xml:space="preserve"> </w:t>
      </w:r>
    </w:p>
    <w:p w:rsidR="00D977A6" w:rsidRDefault="00A55236" w:rsidP="00AC2410">
      <w:pPr>
        <w:spacing w:after="120"/>
      </w:pPr>
      <w:r>
        <w:t>Source : SSAG, SC</w:t>
      </w:r>
      <w:r w:rsidR="00466089">
        <w:t>A</w:t>
      </w:r>
      <w:r>
        <w:t>O</w:t>
      </w:r>
      <w:r w:rsidR="00466089">
        <w:t>R</w:t>
      </w:r>
      <w:r>
        <w:t> ; 2022</w:t>
      </w:r>
    </w:p>
    <w:p w:rsidR="005942F6" w:rsidRPr="00D977A6" w:rsidRDefault="005942F6" w:rsidP="00AC2410">
      <w:pPr>
        <w:spacing w:after="120"/>
        <w:rPr>
          <w:rFonts w:ascii="Times New Roman" w:hAnsi="Times New Roman" w:cs="Times New Roman"/>
          <w:sz w:val="24"/>
          <w:szCs w:val="24"/>
        </w:rPr>
      </w:pPr>
    </w:p>
    <w:p w:rsidR="00DF5FC4"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Contre-visite d'inspection de travail</w:t>
      </w:r>
      <w:r w:rsidR="00AC626D">
        <w:rPr>
          <w:rFonts w:ascii="Times New Roman" w:hAnsi="Times New Roman" w:cs="Times New Roman"/>
          <w:b/>
          <w:i/>
          <w:sz w:val="24"/>
          <w:szCs w:val="24"/>
        </w:rPr>
        <w:t xml:space="preserve"> : </w:t>
      </w:r>
      <w:r w:rsidR="004B1383">
        <w:rPr>
          <w:rFonts w:ascii="Times New Roman" w:hAnsi="Times New Roman" w:cs="Times New Roman"/>
          <w:b/>
          <w:i/>
          <w:sz w:val="24"/>
          <w:szCs w:val="24"/>
        </w:rPr>
        <w:t xml:space="preserve">36 établissements de </w:t>
      </w:r>
      <w:proofErr w:type="spellStart"/>
      <w:r w:rsidR="004B1383">
        <w:rPr>
          <w:rFonts w:ascii="Times New Roman" w:hAnsi="Times New Roman" w:cs="Times New Roman"/>
          <w:b/>
          <w:i/>
          <w:sz w:val="24"/>
          <w:szCs w:val="24"/>
        </w:rPr>
        <w:t>Vakinankaratra</w:t>
      </w:r>
      <w:proofErr w:type="spellEnd"/>
      <w:r w:rsidR="004B1383">
        <w:rPr>
          <w:rFonts w:ascii="Times New Roman" w:hAnsi="Times New Roman" w:cs="Times New Roman"/>
          <w:b/>
          <w:i/>
          <w:sz w:val="24"/>
          <w:szCs w:val="24"/>
        </w:rPr>
        <w:t xml:space="preserve"> et d’</w:t>
      </w:r>
      <w:proofErr w:type="spellStart"/>
      <w:r w:rsidR="004B1383">
        <w:rPr>
          <w:rFonts w:ascii="Times New Roman" w:hAnsi="Times New Roman" w:cs="Times New Roman"/>
          <w:b/>
          <w:i/>
          <w:sz w:val="24"/>
          <w:szCs w:val="24"/>
        </w:rPr>
        <w:t>Analamanga</w:t>
      </w:r>
      <w:proofErr w:type="spellEnd"/>
      <w:r w:rsidR="004B1383">
        <w:rPr>
          <w:rFonts w:ascii="Times New Roman" w:hAnsi="Times New Roman" w:cs="Times New Roman"/>
          <w:b/>
          <w:i/>
          <w:sz w:val="24"/>
          <w:szCs w:val="24"/>
        </w:rPr>
        <w:t xml:space="preserve">, </w:t>
      </w:r>
      <w:r w:rsidR="00AC626D">
        <w:rPr>
          <w:rFonts w:ascii="Times New Roman" w:hAnsi="Times New Roman" w:cs="Times New Roman"/>
          <w:b/>
          <w:i/>
          <w:sz w:val="24"/>
          <w:szCs w:val="24"/>
        </w:rPr>
        <w:t xml:space="preserve">2/3 des établissements dans la Région </w:t>
      </w:r>
      <w:proofErr w:type="spellStart"/>
      <w:r w:rsidR="00AC626D">
        <w:rPr>
          <w:rFonts w:ascii="Times New Roman" w:hAnsi="Times New Roman" w:cs="Times New Roman"/>
          <w:b/>
          <w:i/>
          <w:sz w:val="24"/>
          <w:szCs w:val="24"/>
        </w:rPr>
        <w:t>Vakinankartra</w:t>
      </w:r>
      <w:proofErr w:type="spellEnd"/>
    </w:p>
    <w:p w:rsidR="00B47A0B" w:rsidRPr="00AC2410" w:rsidRDefault="00B47A0B" w:rsidP="00B47A0B">
      <w:pPr>
        <w:pStyle w:val="Lgende"/>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w:t>
      </w:r>
      <w:r w:rsidRPr="00A55236">
        <w:rPr>
          <w:sz w:val="22"/>
          <w:szCs w:val="22"/>
        </w:rPr>
        <w:fldChar w:fldCharType="end"/>
      </w:r>
      <w:r w:rsidRPr="00A55236">
        <w:rPr>
          <w:sz w:val="22"/>
          <w:szCs w:val="22"/>
        </w:rPr>
        <w:t>.</w:t>
      </w:r>
      <w:r>
        <w:rPr>
          <w:sz w:val="22"/>
          <w:szCs w:val="22"/>
        </w:rPr>
        <w:t xml:space="preserve"> Répartition des établissements </w:t>
      </w:r>
      <w:proofErr w:type="spellStart"/>
      <w:r>
        <w:rPr>
          <w:sz w:val="22"/>
          <w:szCs w:val="22"/>
        </w:rPr>
        <w:t>contre-visités</w:t>
      </w:r>
      <w:proofErr w:type="spellEnd"/>
      <w:r>
        <w:rPr>
          <w:sz w:val="22"/>
          <w:szCs w:val="22"/>
        </w:rPr>
        <w:t xml:space="preserve"> selon leurs Régions d’implantation</w:t>
      </w:r>
    </w:p>
    <w:p w:rsidR="00AC2410" w:rsidRPr="00AC2410" w:rsidRDefault="004B1383" w:rsidP="00620C3D">
      <w:pPr>
        <w:spacing w:after="0"/>
        <w:jc w:val="center"/>
        <w:rPr>
          <w:rFonts w:ascii="Times New Roman" w:hAnsi="Times New Roman" w:cs="Times New Roman"/>
          <w:sz w:val="24"/>
          <w:szCs w:val="24"/>
        </w:rPr>
      </w:pPr>
      <w:r>
        <w:rPr>
          <w:noProof/>
          <w:lang w:eastAsia="fr-FR"/>
        </w:rPr>
        <w:drawing>
          <wp:inline distT="0" distB="0" distL="0" distR="0" wp14:anchorId="26B0B349" wp14:editId="33EC0D68">
            <wp:extent cx="4791075" cy="1628775"/>
            <wp:effectExtent l="0" t="0" r="9525" b="9525"/>
            <wp:docPr id="47" name="Graphique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C2410" w:rsidRDefault="00466089" w:rsidP="00AC2410">
      <w:pPr>
        <w:spacing w:after="120"/>
      </w:pPr>
      <w:r>
        <w:t>Source : SSAG, SCAOR ; 2022</w:t>
      </w:r>
    </w:p>
    <w:p w:rsidR="00447524" w:rsidRPr="00AC2410" w:rsidRDefault="00447524" w:rsidP="00AC2410">
      <w:pPr>
        <w:spacing w:after="120"/>
        <w:rPr>
          <w:rFonts w:ascii="Times New Roman" w:hAnsi="Times New Roman" w:cs="Times New Roman"/>
          <w:sz w:val="24"/>
          <w:szCs w:val="24"/>
        </w:rPr>
      </w:pPr>
    </w:p>
    <w:p w:rsidR="00AC2410"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Réception de lettres de doléances</w:t>
      </w:r>
      <w:r w:rsidR="004B1383">
        <w:rPr>
          <w:rFonts w:ascii="Times New Roman" w:hAnsi="Times New Roman" w:cs="Times New Roman"/>
          <w:b/>
          <w:i/>
          <w:sz w:val="24"/>
          <w:szCs w:val="24"/>
        </w:rPr>
        <w:t> : 79 lettres tous de la Région SAVA</w:t>
      </w:r>
    </w:p>
    <w:p w:rsidR="00DF5FC4" w:rsidRPr="00AC2410" w:rsidRDefault="00DF5FC4" w:rsidP="00AC2410">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Règlements de différends de travail</w:t>
      </w:r>
      <w:r w:rsidR="00620C3D">
        <w:rPr>
          <w:rFonts w:ascii="Times New Roman" w:hAnsi="Times New Roman" w:cs="Times New Roman"/>
          <w:b/>
          <w:i/>
          <w:sz w:val="24"/>
          <w:szCs w:val="24"/>
        </w:rPr>
        <w:t xml:space="preserve"> : </w:t>
      </w:r>
      <w:r w:rsidR="00CB68E7">
        <w:rPr>
          <w:rFonts w:ascii="Times New Roman" w:hAnsi="Times New Roman" w:cs="Times New Roman"/>
          <w:b/>
          <w:i/>
          <w:sz w:val="24"/>
          <w:szCs w:val="24"/>
        </w:rPr>
        <w:t xml:space="preserve">1428 </w:t>
      </w:r>
      <w:r w:rsidR="00096027">
        <w:rPr>
          <w:rFonts w:ascii="Times New Roman" w:hAnsi="Times New Roman" w:cs="Times New Roman"/>
          <w:b/>
          <w:i/>
          <w:sz w:val="24"/>
          <w:szCs w:val="24"/>
        </w:rPr>
        <w:t>différends</w:t>
      </w:r>
      <w:r w:rsidR="00CB68E7">
        <w:rPr>
          <w:rFonts w:ascii="Times New Roman" w:hAnsi="Times New Roman" w:cs="Times New Roman"/>
          <w:b/>
          <w:i/>
          <w:sz w:val="24"/>
          <w:szCs w:val="24"/>
        </w:rPr>
        <w:t xml:space="preserve"> réglés, </w:t>
      </w:r>
      <w:r w:rsidR="00620C3D">
        <w:rPr>
          <w:rFonts w:ascii="Times New Roman" w:hAnsi="Times New Roman" w:cs="Times New Roman"/>
          <w:b/>
          <w:i/>
          <w:sz w:val="24"/>
          <w:szCs w:val="24"/>
        </w:rPr>
        <w:t xml:space="preserve">74% des différends réglés dans la Région </w:t>
      </w:r>
      <w:proofErr w:type="spellStart"/>
      <w:r w:rsidR="00620C3D">
        <w:rPr>
          <w:rFonts w:ascii="Times New Roman" w:hAnsi="Times New Roman" w:cs="Times New Roman"/>
          <w:b/>
          <w:i/>
          <w:sz w:val="24"/>
          <w:szCs w:val="24"/>
        </w:rPr>
        <w:t>Analamanga</w:t>
      </w:r>
      <w:proofErr w:type="spellEnd"/>
    </w:p>
    <w:p w:rsidR="00646919" w:rsidRPr="00AC2410" w:rsidRDefault="00646919" w:rsidP="00646919">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w:t>
      </w:r>
      <w:r w:rsidRPr="00A55236">
        <w:rPr>
          <w:sz w:val="22"/>
          <w:szCs w:val="22"/>
        </w:rPr>
        <w:fldChar w:fldCharType="end"/>
      </w:r>
      <w:r w:rsidRPr="00A55236">
        <w:rPr>
          <w:sz w:val="22"/>
          <w:szCs w:val="22"/>
        </w:rPr>
        <w:t>.</w:t>
      </w:r>
      <w:r>
        <w:rPr>
          <w:sz w:val="22"/>
          <w:szCs w:val="22"/>
        </w:rPr>
        <w:t xml:space="preserve"> Répartition des différends de travail réglés selon leurs Régions</w:t>
      </w:r>
    </w:p>
    <w:p w:rsidR="00AC626D" w:rsidRPr="00620C3D" w:rsidRDefault="00620C3D" w:rsidP="00620C3D">
      <w:pPr>
        <w:spacing w:after="0"/>
        <w:jc w:val="center"/>
        <w:rPr>
          <w:rFonts w:ascii="Times New Roman" w:hAnsi="Times New Roman" w:cs="Times New Roman"/>
          <w:sz w:val="24"/>
          <w:szCs w:val="24"/>
        </w:rPr>
      </w:pPr>
      <w:r>
        <w:rPr>
          <w:noProof/>
          <w:lang w:eastAsia="fr-FR"/>
        </w:rPr>
        <w:drawing>
          <wp:inline distT="0" distB="0" distL="0" distR="0" wp14:anchorId="75671176" wp14:editId="50F1ED8B">
            <wp:extent cx="4791076" cy="2800351"/>
            <wp:effectExtent l="0" t="0" r="9525" b="0"/>
            <wp:docPr id="38"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46919" w:rsidRPr="00646919" w:rsidRDefault="00466089" w:rsidP="00646919">
      <w:pPr>
        <w:pStyle w:val="Paragraphedeliste"/>
        <w:numPr>
          <w:ilvl w:val="0"/>
          <w:numId w:val="2"/>
        </w:numPr>
        <w:spacing w:after="120"/>
        <w:rPr>
          <w:rFonts w:ascii="Times New Roman" w:hAnsi="Times New Roman" w:cs="Times New Roman"/>
          <w:sz w:val="24"/>
          <w:szCs w:val="24"/>
        </w:rPr>
      </w:pPr>
      <w:r>
        <w:t>Source : SSAG, SCAOR ; 2022</w:t>
      </w:r>
    </w:p>
    <w:p w:rsidR="00AC2410" w:rsidRPr="00AC2410" w:rsidRDefault="00AC2410" w:rsidP="00646919">
      <w:pPr>
        <w:pStyle w:val="Paragraphedeliste"/>
        <w:spacing w:after="120"/>
        <w:ind w:left="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Conseil des usagers (oral et écrit)</w:t>
      </w:r>
      <w:r w:rsidR="000658BC">
        <w:rPr>
          <w:rFonts w:ascii="Times New Roman" w:hAnsi="Times New Roman" w:cs="Times New Roman"/>
          <w:b/>
          <w:i/>
          <w:sz w:val="24"/>
          <w:szCs w:val="24"/>
        </w:rPr>
        <w:t xml:space="preserve"> : 4703 usagers conseillés, 89% dans la Région </w:t>
      </w:r>
      <w:proofErr w:type="spellStart"/>
      <w:r w:rsidR="000658BC">
        <w:rPr>
          <w:rFonts w:ascii="Times New Roman" w:hAnsi="Times New Roman" w:cs="Times New Roman"/>
          <w:b/>
          <w:i/>
          <w:sz w:val="24"/>
          <w:szCs w:val="24"/>
        </w:rPr>
        <w:t>Analamanga</w:t>
      </w:r>
      <w:proofErr w:type="spellEnd"/>
    </w:p>
    <w:p w:rsidR="00646919" w:rsidRPr="00AC2410" w:rsidRDefault="00646919" w:rsidP="00646919">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4</w:t>
      </w:r>
      <w:r w:rsidRPr="00A55236">
        <w:rPr>
          <w:sz w:val="22"/>
          <w:szCs w:val="22"/>
        </w:rPr>
        <w:fldChar w:fldCharType="end"/>
      </w:r>
      <w:r w:rsidRPr="00A55236">
        <w:rPr>
          <w:sz w:val="22"/>
          <w:szCs w:val="22"/>
        </w:rPr>
        <w:t>.</w:t>
      </w:r>
      <w:r>
        <w:rPr>
          <w:sz w:val="22"/>
          <w:szCs w:val="22"/>
        </w:rPr>
        <w:t xml:space="preserve"> Répartition des usagers conseillés selon leurs Régions</w:t>
      </w:r>
    </w:p>
    <w:p w:rsidR="00AC2410" w:rsidRPr="00AC2410" w:rsidRDefault="00B61A57"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7E322490" wp14:editId="108BEB41">
            <wp:extent cx="4572000" cy="2743200"/>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C2410" w:rsidRDefault="00466089" w:rsidP="00646919">
      <w:pPr>
        <w:spacing w:after="120"/>
        <w:rPr>
          <w:rFonts w:ascii="Times New Roman" w:hAnsi="Times New Roman" w:cs="Times New Roman"/>
          <w:sz w:val="24"/>
          <w:szCs w:val="24"/>
        </w:rPr>
      </w:pPr>
      <w:r>
        <w:t>Source : SSAG, SCAOR ; 2022</w:t>
      </w:r>
    </w:p>
    <w:p w:rsidR="00646919" w:rsidRDefault="00646919" w:rsidP="00646919">
      <w:pPr>
        <w:spacing w:after="120"/>
        <w:rPr>
          <w:rFonts w:ascii="Times New Roman" w:hAnsi="Times New Roman" w:cs="Times New Roman"/>
          <w:sz w:val="24"/>
          <w:szCs w:val="24"/>
        </w:rPr>
      </w:pPr>
    </w:p>
    <w:p w:rsidR="00A12DEE" w:rsidRDefault="00A12DEE" w:rsidP="00646919">
      <w:pPr>
        <w:spacing w:after="120"/>
        <w:rPr>
          <w:rFonts w:ascii="Times New Roman" w:hAnsi="Times New Roman" w:cs="Times New Roman"/>
          <w:sz w:val="24"/>
          <w:szCs w:val="24"/>
        </w:rPr>
      </w:pPr>
    </w:p>
    <w:p w:rsidR="00A12DEE" w:rsidRDefault="00A12DEE" w:rsidP="00646919">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lastRenderedPageBreak/>
        <w:t>Visa de contrat de travail</w:t>
      </w:r>
      <w:r w:rsidR="001059EC">
        <w:rPr>
          <w:rFonts w:ascii="Times New Roman" w:hAnsi="Times New Roman" w:cs="Times New Roman"/>
          <w:b/>
          <w:i/>
          <w:sz w:val="24"/>
          <w:szCs w:val="24"/>
        </w:rPr>
        <w:t xml:space="preserve"> : 1293 contrats visés, 87% dans les Régions </w:t>
      </w:r>
      <w:proofErr w:type="spellStart"/>
      <w:r w:rsidR="001059EC">
        <w:rPr>
          <w:rFonts w:ascii="Times New Roman" w:hAnsi="Times New Roman" w:cs="Times New Roman"/>
          <w:b/>
          <w:i/>
          <w:sz w:val="24"/>
          <w:szCs w:val="24"/>
        </w:rPr>
        <w:t>Analamanga</w:t>
      </w:r>
      <w:proofErr w:type="spellEnd"/>
      <w:r w:rsidR="001059EC">
        <w:rPr>
          <w:rFonts w:ascii="Times New Roman" w:hAnsi="Times New Roman" w:cs="Times New Roman"/>
          <w:b/>
          <w:i/>
          <w:sz w:val="24"/>
          <w:szCs w:val="24"/>
        </w:rPr>
        <w:t>, Diana et SAVA</w:t>
      </w:r>
    </w:p>
    <w:p w:rsidR="001059EC" w:rsidRPr="00AC2410" w:rsidRDefault="001059EC" w:rsidP="001059EC">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5</w:t>
      </w:r>
      <w:r w:rsidRPr="00A55236">
        <w:rPr>
          <w:sz w:val="22"/>
          <w:szCs w:val="22"/>
        </w:rPr>
        <w:fldChar w:fldCharType="end"/>
      </w:r>
      <w:r w:rsidRPr="00A55236">
        <w:rPr>
          <w:sz w:val="22"/>
          <w:szCs w:val="22"/>
        </w:rPr>
        <w:t>.</w:t>
      </w:r>
      <w:r>
        <w:rPr>
          <w:sz w:val="22"/>
          <w:szCs w:val="22"/>
        </w:rPr>
        <w:t xml:space="preserve"> Répartition des contrats de travail visés selon leurs Régions</w:t>
      </w:r>
    </w:p>
    <w:p w:rsidR="00AC2410" w:rsidRPr="00AC2410" w:rsidRDefault="00EF5065"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74E53A9C" wp14:editId="25B1614C">
            <wp:extent cx="4572000" cy="3276600"/>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1059EC" w:rsidRPr="001059EC" w:rsidRDefault="001059EC" w:rsidP="001059EC">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Visa de Règlement Intérieur</w:t>
      </w:r>
      <w:r w:rsidR="000658BC">
        <w:rPr>
          <w:rFonts w:ascii="Times New Roman" w:hAnsi="Times New Roman" w:cs="Times New Roman"/>
          <w:b/>
          <w:i/>
          <w:sz w:val="24"/>
          <w:szCs w:val="24"/>
        </w:rPr>
        <w:t xml:space="preserve"> : 140 règlements visés, la plupart dans la Région </w:t>
      </w:r>
      <w:proofErr w:type="spellStart"/>
      <w:r w:rsidR="000658BC">
        <w:rPr>
          <w:rFonts w:ascii="Times New Roman" w:hAnsi="Times New Roman" w:cs="Times New Roman"/>
          <w:b/>
          <w:i/>
          <w:sz w:val="24"/>
          <w:szCs w:val="24"/>
        </w:rPr>
        <w:t>Analamanga</w:t>
      </w:r>
      <w:proofErr w:type="spellEnd"/>
    </w:p>
    <w:p w:rsidR="0073487E" w:rsidRPr="00AC2410" w:rsidRDefault="0073487E" w:rsidP="0073487E">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6</w:t>
      </w:r>
      <w:r w:rsidRPr="00A55236">
        <w:rPr>
          <w:sz w:val="22"/>
          <w:szCs w:val="22"/>
        </w:rPr>
        <w:fldChar w:fldCharType="end"/>
      </w:r>
      <w:r w:rsidRPr="00A55236">
        <w:rPr>
          <w:sz w:val="22"/>
          <w:szCs w:val="22"/>
        </w:rPr>
        <w:t>.</w:t>
      </w:r>
      <w:r>
        <w:rPr>
          <w:sz w:val="22"/>
          <w:szCs w:val="22"/>
        </w:rPr>
        <w:t xml:space="preserve"> Répartition de visas de règlement intérieurs selon les Régions</w:t>
      </w:r>
    </w:p>
    <w:p w:rsidR="000658BC" w:rsidRPr="00AC2410" w:rsidRDefault="000658BC" w:rsidP="000658BC">
      <w:pPr>
        <w:pStyle w:val="Paragraphedeliste"/>
        <w:numPr>
          <w:ilvl w:val="0"/>
          <w:numId w:val="2"/>
        </w:numPr>
        <w:spacing w:after="120"/>
        <w:jc w:val="center"/>
        <w:rPr>
          <w:rFonts w:ascii="Times New Roman" w:hAnsi="Times New Roman" w:cs="Times New Roman"/>
          <w:sz w:val="24"/>
          <w:szCs w:val="24"/>
        </w:rPr>
      </w:pPr>
      <w:r>
        <w:rPr>
          <w:noProof/>
          <w:lang w:eastAsia="fr-FR"/>
        </w:rPr>
        <w:drawing>
          <wp:inline distT="0" distB="0" distL="0" distR="0" wp14:anchorId="35B4845F" wp14:editId="694700E8">
            <wp:extent cx="2924175" cy="2809875"/>
            <wp:effectExtent l="0" t="0" r="9525" b="9525"/>
            <wp:docPr id="48" name="Graphique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C2410" w:rsidRPr="00AC2410" w:rsidRDefault="00466089" w:rsidP="00AC2410">
      <w:pPr>
        <w:pStyle w:val="Paragraphedeliste"/>
        <w:numPr>
          <w:ilvl w:val="0"/>
          <w:numId w:val="2"/>
        </w:numPr>
        <w:spacing w:after="120"/>
        <w:rPr>
          <w:rFonts w:ascii="Times New Roman" w:hAnsi="Times New Roman" w:cs="Times New Roman"/>
          <w:sz w:val="24"/>
          <w:szCs w:val="24"/>
        </w:rPr>
      </w:pPr>
      <w:r>
        <w:t>Source : SSAG, SCAOR ; 2022</w:t>
      </w:r>
    </w:p>
    <w:p w:rsidR="00AC2410" w:rsidRDefault="00AC2410" w:rsidP="00A12DEE">
      <w:pPr>
        <w:spacing w:after="120"/>
        <w:rPr>
          <w:rFonts w:ascii="Times New Roman" w:hAnsi="Times New Roman" w:cs="Times New Roman"/>
          <w:sz w:val="24"/>
          <w:szCs w:val="24"/>
        </w:rPr>
      </w:pPr>
    </w:p>
    <w:p w:rsidR="00A12DEE" w:rsidRDefault="00A12DEE" w:rsidP="00A12DEE">
      <w:pPr>
        <w:spacing w:after="120"/>
        <w:rPr>
          <w:rFonts w:ascii="Times New Roman" w:hAnsi="Times New Roman" w:cs="Times New Roman"/>
          <w:sz w:val="24"/>
          <w:szCs w:val="24"/>
        </w:rPr>
      </w:pPr>
    </w:p>
    <w:p w:rsidR="00A12DEE" w:rsidRPr="00A12DEE" w:rsidRDefault="00A12DEE" w:rsidP="00A12DEE">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lastRenderedPageBreak/>
        <w:t>Délivrance de Visas de convention collective</w:t>
      </w:r>
      <w:r w:rsidR="000658BC">
        <w:rPr>
          <w:rFonts w:ascii="Times New Roman" w:hAnsi="Times New Roman" w:cs="Times New Roman"/>
          <w:b/>
          <w:i/>
          <w:sz w:val="24"/>
          <w:szCs w:val="24"/>
        </w:rPr>
        <w:t xml:space="preserve"> : 6 visas délivrés tous dans la Région </w:t>
      </w:r>
      <w:proofErr w:type="spellStart"/>
      <w:r w:rsidR="000658BC">
        <w:rPr>
          <w:rFonts w:ascii="Times New Roman" w:hAnsi="Times New Roman" w:cs="Times New Roman"/>
          <w:b/>
          <w:i/>
          <w:sz w:val="24"/>
          <w:szCs w:val="24"/>
        </w:rPr>
        <w:t>Analamanga</w:t>
      </w:r>
      <w:proofErr w:type="spellEnd"/>
    </w:p>
    <w:p w:rsidR="00AC2410" w:rsidRDefault="00AC2410" w:rsidP="00096027">
      <w:pPr>
        <w:spacing w:after="120"/>
        <w:rPr>
          <w:rFonts w:ascii="Times New Roman" w:hAnsi="Times New Roman" w:cs="Times New Roman"/>
          <w:sz w:val="24"/>
          <w:szCs w:val="24"/>
        </w:rPr>
      </w:pPr>
    </w:p>
    <w:p w:rsidR="00096027" w:rsidRPr="00096027" w:rsidRDefault="00096027" w:rsidP="00096027">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Délivrance de Visas sur les horaires d</w:t>
      </w:r>
      <w:r w:rsidR="0073487E">
        <w:rPr>
          <w:rFonts w:ascii="Times New Roman" w:hAnsi="Times New Roman" w:cs="Times New Roman"/>
          <w:b/>
          <w:i/>
          <w:sz w:val="24"/>
          <w:szCs w:val="24"/>
        </w:rPr>
        <w:t>e</w:t>
      </w:r>
      <w:r w:rsidRPr="00EF6589">
        <w:rPr>
          <w:rFonts w:ascii="Times New Roman" w:hAnsi="Times New Roman" w:cs="Times New Roman"/>
          <w:b/>
          <w:i/>
          <w:sz w:val="24"/>
          <w:szCs w:val="24"/>
        </w:rPr>
        <w:t xml:space="preserve"> travail</w:t>
      </w:r>
      <w:r w:rsidR="0073487E">
        <w:rPr>
          <w:rFonts w:ascii="Times New Roman" w:hAnsi="Times New Roman" w:cs="Times New Roman"/>
          <w:b/>
          <w:i/>
          <w:sz w:val="24"/>
          <w:szCs w:val="24"/>
        </w:rPr>
        <w:t xml:space="preserve"> : 401 visas délivrés, la quasi-totalité dans la Région </w:t>
      </w:r>
      <w:proofErr w:type="spellStart"/>
      <w:r w:rsidR="0073487E">
        <w:rPr>
          <w:rFonts w:ascii="Times New Roman" w:hAnsi="Times New Roman" w:cs="Times New Roman"/>
          <w:b/>
          <w:i/>
          <w:sz w:val="24"/>
          <w:szCs w:val="24"/>
        </w:rPr>
        <w:t>Analamanga</w:t>
      </w:r>
      <w:proofErr w:type="spellEnd"/>
    </w:p>
    <w:p w:rsidR="0073487E" w:rsidRPr="00AC2410" w:rsidRDefault="0073487E" w:rsidP="0073487E">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7</w:t>
      </w:r>
      <w:r w:rsidRPr="00A55236">
        <w:rPr>
          <w:sz w:val="22"/>
          <w:szCs w:val="22"/>
        </w:rPr>
        <w:fldChar w:fldCharType="end"/>
      </w:r>
      <w:r w:rsidRPr="00A55236">
        <w:rPr>
          <w:sz w:val="22"/>
          <w:szCs w:val="22"/>
        </w:rPr>
        <w:t>.</w:t>
      </w:r>
      <w:r>
        <w:rPr>
          <w:sz w:val="22"/>
          <w:szCs w:val="22"/>
        </w:rPr>
        <w:t xml:space="preserve"> Répartition de visas sur les horaires de travail délivrés selon les Régions</w:t>
      </w:r>
    </w:p>
    <w:p w:rsidR="00AC2410" w:rsidRPr="00AC2410" w:rsidRDefault="00EF5065"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6E0DB380" wp14:editId="4B7EBB36">
            <wp:extent cx="4572000" cy="2743200"/>
            <wp:effectExtent l="0" t="0" r="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1059EC" w:rsidRPr="001059EC" w:rsidRDefault="001059EC" w:rsidP="001059EC">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Autorisation d'heures supplémentaires</w:t>
      </w:r>
      <w:r w:rsidR="0073487E">
        <w:rPr>
          <w:rFonts w:ascii="Times New Roman" w:hAnsi="Times New Roman" w:cs="Times New Roman"/>
          <w:b/>
          <w:i/>
          <w:sz w:val="24"/>
          <w:szCs w:val="24"/>
        </w:rPr>
        <w:t xml:space="preserve"> : </w:t>
      </w:r>
      <w:r w:rsidR="0073487E" w:rsidRPr="0073487E">
        <w:rPr>
          <w:rFonts w:ascii="Times New Roman" w:hAnsi="Times New Roman" w:cs="Times New Roman"/>
          <w:b/>
          <w:i/>
          <w:sz w:val="24"/>
          <w:szCs w:val="24"/>
        </w:rPr>
        <w:t xml:space="preserve">398 autorisations </w:t>
      </w:r>
      <w:r w:rsidR="0073487E">
        <w:rPr>
          <w:rFonts w:ascii="Times New Roman" w:hAnsi="Times New Roman" w:cs="Times New Roman"/>
          <w:b/>
          <w:i/>
          <w:sz w:val="24"/>
          <w:szCs w:val="24"/>
        </w:rPr>
        <w:t xml:space="preserve">délivrées, 88% dans la Région </w:t>
      </w:r>
      <w:proofErr w:type="spellStart"/>
      <w:r w:rsidR="0073487E">
        <w:rPr>
          <w:rFonts w:ascii="Times New Roman" w:hAnsi="Times New Roman" w:cs="Times New Roman"/>
          <w:b/>
          <w:i/>
          <w:sz w:val="24"/>
          <w:szCs w:val="24"/>
        </w:rPr>
        <w:t>Analamanga</w:t>
      </w:r>
      <w:proofErr w:type="spellEnd"/>
    </w:p>
    <w:p w:rsidR="0073487E" w:rsidRPr="00AC2410" w:rsidRDefault="0073487E" w:rsidP="0073487E">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8</w:t>
      </w:r>
      <w:r w:rsidRPr="00A55236">
        <w:rPr>
          <w:sz w:val="22"/>
          <w:szCs w:val="22"/>
        </w:rPr>
        <w:fldChar w:fldCharType="end"/>
      </w:r>
      <w:r w:rsidRPr="00A55236">
        <w:rPr>
          <w:sz w:val="22"/>
          <w:szCs w:val="22"/>
        </w:rPr>
        <w:t>.</w:t>
      </w:r>
      <w:r>
        <w:rPr>
          <w:sz w:val="22"/>
          <w:szCs w:val="22"/>
        </w:rPr>
        <w:t xml:space="preserve"> Répartition des autorisations d’heures supplémentaires délivrées selon les Régions</w:t>
      </w:r>
    </w:p>
    <w:p w:rsidR="00AC2410" w:rsidRPr="00AC2410" w:rsidRDefault="007B30F5"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0CC6A767" wp14:editId="6D83872B">
            <wp:extent cx="4572000" cy="2743200"/>
            <wp:effectExtent l="0" t="0" r="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1059EC" w:rsidRDefault="001059EC" w:rsidP="001059EC">
      <w:pPr>
        <w:spacing w:after="120"/>
        <w:rPr>
          <w:rFonts w:ascii="Times New Roman" w:hAnsi="Times New Roman" w:cs="Times New Roman"/>
          <w:sz w:val="24"/>
          <w:szCs w:val="24"/>
        </w:rPr>
      </w:pPr>
    </w:p>
    <w:p w:rsidR="00A12DEE" w:rsidRPr="001059EC" w:rsidRDefault="00A12DEE" w:rsidP="001059EC">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lastRenderedPageBreak/>
        <w:t>Autorisation de jours fériés</w:t>
      </w:r>
      <w:r w:rsidR="0073487E">
        <w:rPr>
          <w:rFonts w:ascii="Times New Roman" w:hAnsi="Times New Roman" w:cs="Times New Roman"/>
          <w:b/>
          <w:i/>
          <w:sz w:val="24"/>
          <w:szCs w:val="24"/>
        </w:rPr>
        <w:t xml:space="preserve"> : 16 </w:t>
      </w:r>
      <w:r w:rsidR="0073487E" w:rsidRPr="0073487E">
        <w:rPr>
          <w:rFonts w:ascii="Times New Roman" w:hAnsi="Times New Roman" w:cs="Times New Roman"/>
          <w:b/>
          <w:i/>
          <w:sz w:val="24"/>
          <w:szCs w:val="24"/>
        </w:rPr>
        <w:t xml:space="preserve">autorisations </w:t>
      </w:r>
      <w:r w:rsidR="0073487E">
        <w:rPr>
          <w:rFonts w:ascii="Times New Roman" w:hAnsi="Times New Roman" w:cs="Times New Roman"/>
          <w:b/>
          <w:i/>
          <w:sz w:val="24"/>
          <w:szCs w:val="24"/>
        </w:rPr>
        <w:t xml:space="preserve">délivrées, presque la totalité dans la Région </w:t>
      </w:r>
      <w:proofErr w:type="spellStart"/>
      <w:r w:rsidR="0073487E">
        <w:rPr>
          <w:rFonts w:ascii="Times New Roman" w:hAnsi="Times New Roman" w:cs="Times New Roman"/>
          <w:b/>
          <w:i/>
          <w:sz w:val="24"/>
          <w:szCs w:val="24"/>
        </w:rPr>
        <w:t>Analamanga</w:t>
      </w:r>
      <w:proofErr w:type="spellEnd"/>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9</w:t>
      </w:r>
      <w:r w:rsidRPr="00A55236">
        <w:rPr>
          <w:sz w:val="22"/>
          <w:szCs w:val="22"/>
        </w:rPr>
        <w:fldChar w:fldCharType="end"/>
      </w:r>
      <w:r w:rsidRPr="00A55236">
        <w:rPr>
          <w:sz w:val="22"/>
          <w:szCs w:val="22"/>
        </w:rPr>
        <w:t>.</w:t>
      </w:r>
      <w:r>
        <w:rPr>
          <w:sz w:val="22"/>
          <w:szCs w:val="22"/>
        </w:rPr>
        <w:t xml:space="preserve"> Répartition des autorisations de jours fériés délivrées selon les Régions</w:t>
      </w:r>
    </w:p>
    <w:p w:rsidR="00AC2410" w:rsidRPr="00AC2410" w:rsidRDefault="007B30F5"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29AA127F" wp14:editId="62E59FAD">
            <wp:extent cx="4572000" cy="2743200"/>
            <wp:effectExtent l="0" t="0" r="0" b="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1059EC" w:rsidRPr="001059EC" w:rsidRDefault="001059EC" w:rsidP="001059EC">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Autorisation de travail de dimanche</w:t>
      </w:r>
      <w:r w:rsidR="0073487E">
        <w:rPr>
          <w:rFonts w:ascii="Times New Roman" w:hAnsi="Times New Roman" w:cs="Times New Roman"/>
          <w:b/>
          <w:i/>
          <w:sz w:val="24"/>
          <w:szCs w:val="24"/>
        </w:rPr>
        <w:t> :</w:t>
      </w:r>
      <w:r w:rsidR="0073487E" w:rsidRPr="0073487E">
        <w:rPr>
          <w:rFonts w:ascii="Times New Roman" w:hAnsi="Times New Roman" w:cs="Times New Roman"/>
          <w:b/>
          <w:i/>
          <w:sz w:val="24"/>
          <w:szCs w:val="24"/>
        </w:rPr>
        <w:t xml:space="preserve"> </w:t>
      </w:r>
      <w:r w:rsidR="0062093B">
        <w:rPr>
          <w:rFonts w:ascii="Times New Roman" w:hAnsi="Times New Roman" w:cs="Times New Roman"/>
          <w:b/>
          <w:i/>
          <w:sz w:val="24"/>
          <w:szCs w:val="24"/>
        </w:rPr>
        <w:t xml:space="preserve">54 </w:t>
      </w:r>
      <w:r w:rsidR="0073487E" w:rsidRPr="0073487E">
        <w:rPr>
          <w:rFonts w:ascii="Times New Roman" w:hAnsi="Times New Roman" w:cs="Times New Roman"/>
          <w:b/>
          <w:i/>
          <w:sz w:val="24"/>
          <w:szCs w:val="24"/>
        </w:rPr>
        <w:t xml:space="preserve">autorisations </w:t>
      </w:r>
      <w:r w:rsidR="0073487E">
        <w:rPr>
          <w:rFonts w:ascii="Times New Roman" w:hAnsi="Times New Roman" w:cs="Times New Roman"/>
          <w:b/>
          <w:i/>
          <w:sz w:val="24"/>
          <w:szCs w:val="24"/>
        </w:rPr>
        <w:t>délivrées,</w:t>
      </w:r>
      <w:r w:rsidR="0062093B">
        <w:rPr>
          <w:rFonts w:ascii="Times New Roman" w:hAnsi="Times New Roman" w:cs="Times New Roman"/>
          <w:b/>
          <w:i/>
          <w:sz w:val="24"/>
          <w:szCs w:val="24"/>
        </w:rPr>
        <w:t xml:space="preserve"> 93% dans la Région </w:t>
      </w:r>
      <w:proofErr w:type="spellStart"/>
      <w:r w:rsidR="0062093B">
        <w:rPr>
          <w:rFonts w:ascii="Times New Roman" w:hAnsi="Times New Roman" w:cs="Times New Roman"/>
          <w:b/>
          <w:i/>
          <w:sz w:val="24"/>
          <w:szCs w:val="24"/>
        </w:rPr>
        <w:t>Analamanga</w:t>
      </w:r>
      <w:proofErr w:type="spellEnd"/>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10</w:t>
      </w:r>
      <w:r w:rsidRPr="00A55236">
        <w:rPr>
          <w:sz w:val="22"/>
          <w:szCs w:val="22"/>
        </w:rPr>
        <w:fldChar w:fldCharType="end"/>
      </w:r>
      <w:r w:rsidRPr="00A55236">
        <w:rPr>
          <w:sz w:val="22"/>
          <w:szCs w:val="22"/>
        </w:rPr>
        <w:t>.</w:t>
      </w:r>
      <w:r>
        <w:rPr>
          <w:sz w:val="22"/>
          <w:szCs w:val="22"/>
        </w:rPr>
        <w:t xml:space="preserve"> Répartition des autorisations de travail de dimanche délivrées selon les Régions</w:t>
      </w:r>
    </w:p>
    <w:p w:rsidR="00AC2410" w:rsidRPr="00AC2410" w:rsidRDefault="00945D66"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2240FDEB" wp14:editId="3C49102F">
            <wp:extent cx="5086350" cy="2743200"/>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1059EC" w:rsidRDefault="001059EC" w:rsidP="001059EC">
      <w:pPr>
        <w:spacing w:after="120"/>
        <w:rPr>
          <w:rFonts w:ascii="Times New Roman" w:hAnsi="Times New Roman" w:cs="Times New Roman"/>
          <w:sz w:val="24"/>
          <w:szCs w:val="24"/>
        </w:rPr>
      </w:pPr>
    </w:p>
    <w:p w:rsidR="00A12DEE" w:rsidRDefault="00A12DEE" w:rsidP="001059EC">
      <w:pPr>
        <w:spacing w:after="120"/>
        <w:rPr>
          <w:rFonts w:ascii="Times New Roman" w:hAnsi="Times New Roman" w:cs="Times New Roman"/>
          <w:sz w:val="24"/>
          <w:szCs w:val="24"/>
        </w:rPr>
      </w:pPr>
    </w:p>
    <w:p w:rsidR="00A12DEE" w:rsidRDefault="00A12DEE" w:rsidP="001059EC">
      <w:pPr>
        <w:spacing w:after="120"/>
        <w:rPr>
          <w:rFonts w:ascii="Times New Roman" w:hAnsi="Times New Roman" w:cs="Times New Roman"/>
          <w:sz w:val="24"/>
          <w:szCs w:val="24"/>
        </w:rPr>
      </w:pPr>
    </w:p>
    <w:p w:rsidR="00A12DEE" w:rsidRDefault="00A12DEE" w:rsidP="001059EC">
      <w:pPr>
        <w:spacing w:after="120"/>
        <w:rPr>
          <w:rFonts w:ascii="Times New Roman" w:hAnsi="Times New Roman" w:cs="Times New Roman"/>
          <w:sz w:val="24"/>
          <w:szCs w:val="24"/>
        </w:rPr>
      </w:pPr>
    </w:p>
    <w:p w:rsidR="00A12DEE" w:rsidRDefault="00A12DEE" w:rsidP="001059EC">
      <w:pPr>
        <w:spacing w:after="120"/>
        <w:rPr>
          <w:rFonts w:ascii="Times New Roman" w:hAnsi="Times New Roman" w:cs="Times New Roman"/>
          <w:sz w:val="24"/>
          <w:szCs w:val="24"/>
        </w:rPr>
      </w:pPr>
    </w:p>
    <w:p w:rsidR="00A12DEE" w:rsidRPr="001059EC" w:rsidRDefault="00A12DEE" w:rsidP="001059EC">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lastRenderedPageBreak/>
        <w:t>Autorisation de travail de nuit des femmes</w:t>
      </w:r>
      <w:r w:rsidR="0062093B">
        <w:rPr>
          <w:rFonts w:ascii="Times New Roman" w:hAnsi="Times New Roman" w:cs="Times New Roman"/>
          <w:b/>
          <w:i/>
          <w:sz w:val="24"/>
          <w:szCs w:val="24"/>
        </w:rPr>
        <w:t xml:space="preserve"> : 5 autorisations délivrées, la majorité dans la Région </w:t>
      </w:r>
      <w:proofErr w:type="spellStart"/>
      <w:r w:rsidR="0062093B">
        <w:rPr>
          <w:rFonts w:ascii="Times New Roman" w:hAnsi="Times New Roman" w:cs="Times New Roman"/>
          <w:b/>
          <w:i/>
          <w:sz w:val="24"/>
          <w:szCs w:val="24"/>
        </w:rPr>
        <w:t>Analamanga</w:t>
      </w:r>
      <w:proofErr w:type="spellEnd"/>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11</w:t>
      </w:r>
      <w:r w:rsidRPr="00A55236">
        <w:rPr>
          <w:sz w:val="22"/>
          <w:szCs w:val="22"/>
        </w:rPr>
        <w:fldChar w:fldCharType="end"/>
      </w:r>
      <w:r w:rsidRPr="00A55236">
        <w:rPr>
          <w:sz w:val="22"/>
          <w:szCs w:val="22"/>
        </w:rPr>
        <w:t>.</w:t>
      </w:r>
      <w:r>
        <w:rPr>
          <w:sz w:val="22"/>
          <w:szCs w:val="22"/>
        </w:rPr>
        <w:t xml:space="preserve"> Répartition des autorisations de travail de nuit des femmes délivrées selon les Régions</w:t>
      </w:r>
    </w:p>
    <w:p w:rsidR="00AC2410" w:rsidRPr="00AC2410" w:rsidRDefault="0062093B"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0F004F70" wp14:editId="6992A714">
            <wp:extent cx="4791076" cy="2800351"/>
            <wp:effectExtent l="0" t="0" r="9525" b="0"/>
            <wp:docPr id="49" name="Graphiqu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47524" w:rsidRPr="00447524" w:rsidRDefault="00447524" w:rsidP="00447524">
      <w:pPr>
        <w:pStyle w:val="Paragraphedeliste"/>
        <w:numPr>
          <w:ilvl w:val="0"/>
          <w:numId w:val="2"/>
        </w:numPr>
        <w:spacing w:after="120"/>
        <w:rPr>
          <w:rFonts w:ascii="Times New Roman" w:hAnsi="Times New Roman" w:cs="Times New Roman"/>
          <w:sz w:val="24"/>
          <w:szCs w:val="24"/>
        </w:rPr>
      </w:pPr>
      <w:r>
        <w:t>Source : SSAG, SCAOR ; 2022</w:t>
      </w:r>
    </w:p>
    <w:p w:rsidR="00AC2410" w:rsidRPr="00AC2410" w:rsidRDefault="00AC2410" w:rsidP="00AC2410">
      <w:pPr>
        <w:pStyle w:val="Paragraphedeliste"/>
        <w:numPr>
          <w:ilvl w:val="0"/>
          <w:numId w:val="2"/>
        </w:num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Licenciement pour motif économique</w:t>
      </w:r>
      <w:r w:rsidR="0062093B">
        <w:rPr>
          <w:rFonts w:ascii="Times New Roman" w:hAnsi="Times New Roman" w:cs="Times New Roman"/>
          <w:b/>
          <w:i/>
          <w:sz w:val="24"/>
          <w:szCs w:val="24"/>
        </w:rPr>
        <w:t> : 33 travailleurs licenciés pour motif économique, presque la moitié dans la Région SAVA</w:t>
      </w:r>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12</w:t>
      </w:r>
      <w:r w:rsidRPr="00A55236">
        <w:rPr>
          <w:sz w:val="22"/>
          <w:szCs w:val="22"/>
        </w:rPr>
        <w:fldChar w:fldCharType="end"/>
      </w:r>
      <w:r w:rsidRPr="00A55236">
        <w:rPr>
          <w:sz w:val="22"/>
          <w:szCs w:val="22"/>
        </w:rPr>
        <w:t>.</w:t>
      </w:r>
      <w:r>
        <w:rPr>
          <w:sz w:val="22"/>
          <w:szCs w:val="22"/>
        </w:rPr>
        <w:t xml:space="preserve"> Répartition des licenciement pour motif économique selon les Régions</w:t>
      </w:r>
    </w:p>
    <w:p w:rsidR="00AC2410" w:rsidRPr="00AC2410" w:rsidRDefault="00945D66"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715B3163" wp14:editId="793334EF">
            <wp:extent cx="5200650" cy="2743200"/>
            <wp:effectExtent l="0" t="0" r="0" b="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A12DEE" w:rsidRDefault="00A12DEE">
      <w:pPr>
        <w:rPr>
          <w:rFonts w:ascii="Times New Roman" w:hAnsi="Times New Roman" w:cs="Times New Roman"/>
          <w:sz w:val="24"/>
          <w:szCs w:val="24"/>
        </w:rPr>
      </w:pPr>
      <w:r>
        <w:rPr>
          <w:rFonts w:ascii="Times New Roman" w:hAnsi="Times New Roman" w:cs="Times New Roman"/>
          <w:sz w:val="24"/>
          <w:szCs w:val="24"/>
        </w:rPr>
        <w:br w:type="page"/>
      </w: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lastRenderedPageBreak/>
        <w:t>Déclaration de chômage technique</w:t>
      </w:r>
      <w:r w:rsidR="0062093B">
        <w:rPr>
          <w:rFonts w:ascii="Times New Roman" w:hAnsi="Times New Roman" w:cs="Times New Roman"/>
          <w:b/>
          <w:i/>
          <w:sz w:val="24"/>
          <w:szCs w:val="24"/>
        </w:rPr>
        <w:t> : 13 établissements déclarant le chômage technique, 39% dans la Région SAVA</w:t>
      </w:r>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13</w:t>
      </w:r>
      <w:r w:rsidRPr="00A55236">
        <w:rPr>
          <w:sz w:val="22"/>
          <w:szCs w:val="22"/>
        </w:rPr>
        <w:fldChar w:fldCharType="end"/>
      </w:r>
      <w:r w:rsidRPr="00A55236">
        <w:rPr>
          <w:sz w:val="22"/>
          <w:szCs w:val="22"/>
        </w:rPr>
        <w:t>.</w:t>
      </w:r>
      <w:r>
        <w:rPr>
          <w:sz w:val="22"/>
          <w:szCs w:val="22"/>
        </w:rPr>
        <w:t xml:space="preserve"> Répartition des déclarations de chômage technique selon les Régions</w:t>
      </w:r>
    </w:p>
    <w:p w:rsidR="00AC2410" w:rsidRPr="00AC2410" w:rsidRDefault="00945D66"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031E5CC1" wp14:editId="0ED27882">
            <wp:extent cx="5057775" cy="2743200"/>
            <wp:effectExtent l="0" t="0" r="9525" b="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1059EC" w:rsidRPr="001059EC" w:rsidRDefault="001059EC" w:rsidP="001059EC">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Fermeture et ouverture d'établissement</w:t>
      </w:r>
      <w:r w:rsidR="0062093B">
        <w:rPr>
          <w:rFonts w:ascii="Times New Roman" w:hAnsi="Times New Roman" w:cs="Times New Roman"/>
          <w:b/>
          <w:i/>
          <w:sz w:val="24"/>
          <w:szCs w:val="24"/>
        </w:rPr>
        <w:t xml:space="preserve"> : 50 établissements fermés, 80% dans la Région </w:t>
      </w:r>
      <w:proofErr w:type="spellStart"/>
      <w:r w:rsidR="0062093B">
        <w:rPr>
          <w:rFonts w:ascii="Times New Roman" w:hAnsi="Times New Roman" w:cs="Times New Roman"/>
          <w:b/>
          <w:i/>
          <w:sz w:val="24"/>
          <w:szCs w:val="24"/>
        </w:rPr>
        <w:t>Betsiboika</w:t>
      </w:r>
      <w:proofErr w:type="spellEnd"/>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14</w:t>
      </w:r>
      <w:r w:rsidRPr="00A55236">
        <w:rPr>
          <w:sz w:val="22"/>
          <w:szCs w:val="22"/>
        </w:rPr>
        <w:fldChar w:fldCharType="end"/>
      </w:r>
      <w:r w:rsidRPr="00A55236">
        <w:rPr>
          <w:sz w:val="22"/>
          <w:szCs w:val="22"/>
        </w:rPr>
        <w:t>.</w:t>
      </w:r>
      <w:r>
        <w:rPr>
          <w:sz w:val="22"/>
          <w:szCs w:val="22"/>
        </w:rPr>
        <w:t xml:space="preserve"> Répartition des établissements fermés selon les Régions</w:t>
      </w:r>
    </w:p>
    <w:p w:rsidR="00AC2410" w:rsidRPr="00AC2410" w:rsidRDefault="007A279C"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178D60E1" wp14:editId="70245FE1">
            <wp:extent cx="5057775" cy="2743200"/>
            <wp:effectExtent l="0" t="0" r="9525"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1059EC" w:rsidRPr="001059EC" w:rsidRDefault="001059EC" w:rsidP="001059EC">
      <w:pPr>
        <w:spacing w:after="120"/>
        <w:rPr>
          <w:rFonts w:ascii="Times New Roman" w:hAnsi="Times New Roman" w:cs="Times New Roman"/>
          <w:sz w:val="24"/>
          <w:szCs w:val="24"/>
        </w:rPr>
      </w:pPr>
    </w:p>
    <w:p w:rsidR="00A12DEE" w:rsidRDefault="00A12DEE">
      <w:pPr>
        <w:rPr>
          <w:rFonts w:ascii="Times New Roman" w:hAnsi="Times New Roman" w:cs="Times New Roman"/>
          <w:b/>
          <w:i/>
          <w:sz w:val="24"/>
          <w:szCs w:val="24"/>
        </w:rPr>
      </w:pPr>
      <w:r>
        <w:rPr>
          <w:rFonts w:ascii="Times New Roman" w:hAnsi="Times New Roman" w:cs="Times New Roman"/>
          <w:b/>
          <w:i/>
          <w:sz w:val="24"/>
          <w:szCs w:val="24"/>
        </w:rPr>
        <w:br w:type="page"/>
      </w: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lastRenderedPageBreak/>
        <w:t>Traitement de licenciement de délégué</w:t>
      </w:r>
      <w:r w:rsidR="006C2D13">
        <w:rPr>
          <w:rFonts w:ascii="Times New Roman" w:hAnsi="Times New Roman" w:cs="Times New Roman"/>
          <w:b/>
          <w:i/>
          <w:sz w:val="24"/>
          <w:szCs w:val="24"/>
        </w:rPr>
        <w:t>s</w:t>
      </w:r>
      <w:r w:rsidRPr="00EF6589">
        <w:rPr>
          <w:rFonts w:ascii="Times New Roman" w:hAnsi="Times New Roman" w:cs="Times New Roman"/>
          <w:b/>
          <w:i/>
          <w:sz w:val="24"/>
          <w:szCs w:val="24"/>
        </w:rPr>
        <w:t>/comité</w:t>
      </w:r>
      <w:r w:rsidR="006C2D13">
        <w:rPr>
          <w:rFonts w:ascii="Times New Roman" w:hAnsi="Times New Roman" w:cs="Times New Roman"/>
          <w:b/>
          <w:i/>
          <w:sz w:val="24"/>
          <w:szCs w:val="24"/>
        </w:rPr>
        <w:t>s</w:t>
      </w:r>
      <w:r w:rsidRPr="00EF6589">
        <w:rPr>
          <w:rFonts w:ascii="Times New Roman" w:hAnsi="Times New Roman" w:cs="Times New Roman"/>
          <w:b/>
          <w:i/>
          <w:sz w:val="24"/>
          <w:szCs w:val="24"/>
        </w:rPr>
        <w:t xml:space="preserve"> d'entreprise</w:t>
      </w:r>
      <w:r w:rsidR="006C2D13">
        <w:rPr>
          <w:rFonts w:ascii="Times New Roman" w:hAnsi="Times New Roman" w:cs="Times New Roman"/>
          <w:b/>
          <w:i/>
          <w:sz w:val="24"/>
          <w:szCs w:val="24"/>
        </w:rPr>
        <w:t>s</w:t>
      </w:r>
      <w:r w:rsidR="0062093B">
        <w:rPr>
          <w:rFonts w:ascii="Times New Roman" w:hAnsi="Times New Roman" w:cs="Times New Roman"/>
          <w:b/>
          <w:i/>
          <w:sz w:val="24"/>
          <w:szCs w:val="24"/>
        </w:rPr>
        <w:t> : 65 délégués et membres de comité</w:t>
      </w:r>
      <w:r w:rsidR="006C2D13">
        <w:rPr>
          <w:rFonts w:ascii="Times New Roman" w:hAnsi="Times New Roman" w:cs="Times New Roman"/>
          <w:b/>
          <w:i/>
          <w:sz w:val="24"/>
          <w:szCs w:val="24"/>
        </w:rPr>
        <w:t>s</w:t>
      </w:r>
      <w:r w:rsidR="0062093B">
        <w:rPr>
          <w:rFonts w:ascii="Times New Roman" w:hAnsi="Times New Roman" w:cs="Times New Roman"/>
          <w:b/>
          <w:i/>
          <w:sz w:val="24"/>
          <w:szCs w:val="24"/>
        </w:rPr>
        <w:t xml:space="preserve"> d’entreprise</w:t>
      </w:r>
      <w:r w:rsidR="006C2D13">
        <w:rPr>
          <w:rFonts w:ascii="Times New Roman" w:hAnsi="Times New Roman" w:cs="Times New Roman"/>
          <w:b/>
          <w:i/>
          <w:sz w:val="24"/>
          <w:szCs w:val="24"/>
        </w:rPr>
        <w:t>s</w:t>
      </w:r>
      <w:r w:rsidR="0062093B">
        <w:rPr>
          <w:rFonts w:ascii="Times New Roman" w:hAnsi="Times New Roman" w:cs="Times New Roman"/>
          <w:b/>
          <w:i/>
          <w:sz w:val="24"/>
          <w:szCs w:val="24"/>
        </w:rPr>
        <w:t xml:space="preserve"> licenciés, 91% travaillant dans la Région </w:t>
      </w:r>
      <w:proofErr w:type="spellStart"/>
      <w:r w:rsidR="0062093B">
        <w:rPr>
          <w:rFonts w:ascii="Times New Roman" w:hAnsi="Times New Roman" w:cs="Times New Roman"/>
          <w:b/>
          <w:i/>
          <w:sz w:val="24"/>
          <w:szCs w:val="24"/>
        </w:rPr>
        <w:t>Analamanga</w:t>
      </w:r>
      <w:proofErr w:type="spellEnd"/>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15</w:t>
      </w:r>
      <w:r w:rsidRPr="00A55236">
        <w:rPr>
          <w:sz w:val="22"/>
          <w:szCs w:val="22"/>
        </w:rPr>
        <w:fldChar w:fldCharType="end"/>
      </w:r>
      <w:r w:rsidRPr="00A55236">
        <w:rPr>
          <w:sz w:val="22"/>
          <w:szCs w:val="22"/>
        </w:rPr>
        <w:t>.</w:t>
      </w:r>
      <w:r>
        <w:rPr>
          <w:sz w:val="22"/>
          <w:szCs w:val="22"/>
        </w:rPr>
        <w:t xml:space="preserve"> Répartition des délégués et membres de comités d’entreprise</w:t>
      </w:r>
      <w:r w:rsidR="006C2D13">
        <w:rPr>
          <w:sz w:val="22"/>
          <w:szCs w:val="22"/>
        </w:rPr>
        <w:t>s</w:t>
      </w:r>
      <w:r>
        <w:rPr>
          <w:sz w:val="22"/>
          <w:szCs w:val="22"/>
        </w:rPr>
        <w:t xml:space="preserve"> licenciés selon les Régions</w:t>
      </w:r>
    </w:p>
    <w:p w:rsidR="00AC2410" w:rsidRPr="00AC2410" w:rsidRDefault="008E7CAD"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7E0A35BE" wp14:editId="555228C4">
            <wp:extent cx="5057775" cy="2743200"/>
            <wp:effectExtent l="0" t="0" r="9525"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1059EC" w:rsidRPr="001059EC" w:rsidRDefault="001059EC" w:rsidP="001059EC">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Election de délégué</w:t>
      </w:r>
      <w:r w:rsidR="006C2D13">
        <w:rPr>
          <w:rFonts w:ascii="Times New Roman" w:hAnsi="Times New Roman" w:cs="Times New Roman"/>
          <w:b/>
          <w:i/>
          <w:sz w:val="24"/>
          <w:szCs w:val="24"/>
        </w:rPr>
        <w:t>s</w:t>
      </w:r>
      <w:r w:rsidRPr="00EF6589">
        <w:rPr>
          <w:rFonts w:ascii="Times New Roman" w:hAnsi="Times New Roman" w:cs="Times New Roman"/>
          <w:b/>
          <w:i/>
          <w:sz w:val="24"/>
          <w:szCs w:val="24"/>
        </w:rPr>
        <w:t xml:space="preserve"> d</w:t>
      </w:r>
      <w:r w:rsidR="006C2D13">
        <w:rPr>
          <w:rFonts w:ascii="Times New Roman" w:hAnsi="Times New Roman" w:cs="Times New Roman"/>
          <w:b/>
          <w:i/>
          <w:sz w:val="24"/>
          <w:szCs w:val="24"/>
        </w:rPr>
        <w:t>e</w:t>
      </w:r>
      <w:r w:rsidRPr="00EF6589">
        <w:rPr>
          <w:rFonts w:ascii="Times New Roman" w:hAnsi="Times New Roman" w:cs="Times New Roman"/>
          <w:b/>
          <w:i/>
          <w:sz w:val="24"/>
          <w:szCs w:val="24"/>
        </w:rPr>
        <w:t xml:space="preserve"> personnel</w:t>
      </w:r>
      <w:r w:rsidR="0062093B">
        <w:rPr>
          <w:rFonts w:ascii="Times New Roman" w:hAnsi="Times New Roman" w:cs="Times New Roman"/>
          <w:b/>
          <w:i/>
          <w:sz w:val="24"/>
          <w:szCs w:val="24"/>
        </w:rPr>
        <w:t xml:space="preserve"> : 482 élections de </w:t>
      </w:r>
      <w:r w:rsidR="00200D7E">
        <w:rPr>
          <w:rFonts w:ascii="Times New Roman" w:hAnsi="Times New Roman" w:cs="Times New Roman"/>
          <w:b/>
          <w:i/>
          <w:sz w:val="24"/>
          <w:szCs w:val="24"/>
        </w:rPr>
        <w:t>délégués</w:t>
      </w:r>
      <w:r w:rsidR="0062093B">
        <w:rPr>
          <w:rFonts w:ascii="Times New Roman" w:hAnsi="Times New Roman" w:cs="Times New Roman"/>
          <w:b/>
          <w:i/>
          <w:sz w:val="24"/>
          <w:szCs w:val="24"/>
        </w:rPr>
        <w:t xml:space="preserve">, </w:t>
      </w:r>
      <w:r w:rsidR="00200D7E">
        <w:rPr>
          <w:rFonts w:ascii="Times New Roman" w:hAnsi="Times New Roman" w:cs="Times New Roman"/>
          <w:b/>
          <w:i/>
          <w:sz w:val="24"/>
          <w:szCs w:val="24"/>
        </w:rPr>
        <w:t xml:space="preserve">74% dans la Région </w:t>
      </w:r>
      <w:proofErr w:type="spellStart"/>
      <w:r w:rsidR="00200D7E">
        <w:rPr>
          <w:rFonts w:ascii="Times New Roman" w:hAnsi="Times New Roman" w:cs="Times New Roman"/>
          <w:b/>
          <w:i/>
          <w:sz w:val="24"/>
          <w:szCs w:val="24"/>
        </w:rPr>
        <w:t>Analamanga</w:t>
      </w:r>
      <w:proofErr w:type="spellEnd"/>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16</w:t>
      </w:r>
      <w:r w:rsidRPr="00A55236">
        <w:rPr>
          <w:sz w:val="22"/>
          <w:szCs w:val="22"/>
        </w:rPr>
        <w:fldChar w:fldCharType="end"/>
      </w:r>
      <w:r w:rsidRPr="00A55236">
        <w:rPr>
          <w:sz w:val="22"/>
          <w:szCs w:val="22"/>
        </w:rPr>
        <w:t>.</w:t>
      </w:r>
      <w:r>
        <w:rPr>
          <w:sz w:val="22"/>
          <w:szCs w:val="22"/>
        </w:rPr>
        <w:t xml:space="preserve"> Répartition d’élection de délégués de personnel selon les Régions</w:t>
      </w:r>
    </w:p>
    <w:p w:rsidR="00AC2410" w:rsidRPr="00AC2410" w:rsidRDefault="00B34E8D"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5460CEAC" wp14:editId="51E6A996">
            <wp:extent cx="5057775" cy="2743200"/>
            <wp:effectExtent l="0" t="0" r="9525"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C2410" w:rsidRDefault="00466089" w:rsidP="008E7CAD">
      <w:pPr>
        <w:spacing w:after="120"/>
      </w:pPr>
      <w:r>
        <w:t>Source : SSAG, SCAOR ; 2022</w:t>
      </w:r>
    </w:p>
    <w:p w:rsidR="00447524" w:rsidRDefault="00447524" w:rsidP="008E7CAD">
      <w:pPr>
        <w:spacing w:after="120"/>
        <w:rPr>
          <w:rFonts w:ascii="Times New Roman" w:hAnsi="Times New Roman" w:cs="Times New Roman"/>
          <w:sz w:val="24"/>
          <w:szCs w:val="24"/>
        </w:rPr>
      </w:pPr>
    </w:p>
    <w:p w:rsidR="00A12DEE" w:rsidRDefault="00A12DEE">
      <w:pPr>
        <w:rPr>
          <w:i/>
          <w:iCs/>
          <w:color w:val="44546A" w:themeColor="text2"/>
        </w:rPr>
      </w:pPr>
      <w:r>
        <w:br w:type="page"/>
      </w:r>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lastRenderedPageBreak/>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17</w:t>
      </w:r>
      <w:r w:rsidRPr="00A55236">
        <w:rPr>
          <w:sz w:val="22"/>
          <w:szCs w:val="22"/>
        </w:rPr>
        <w:fldChar w:fldCharType="end"/>
      </w:r>
      <w:r w:rsidRPr="00A55236">
        <w:rPr>
          <w:sz w:val="22"/>
          <w:szCs w:val="22"/>
        </w:rPr>
        <w:t>.</w:t>
      </w:r>
      <w:r>
        <w:rPr>
          <w:sz w:val="22"/>
          <w:szCs w:val="22"/>
        </w:rPr>
        <w:t xml:space="preserve"> Répartition d’élection de délégués de personnel selon les Régions</w:t>
      </w:r>
    </w:p>
    <w:p w:rsidR="008E7CAD" w:rsidRDefault="008E7CAD" w:rsidP="00447524">
      <w:pPr>
        <w:spacing w:after="0"/>
        <w:jc w:val="center"/>
        <w:rPr>
          <w:rFonts w:ascii="Times New Roman" w:hAnsi="Times New Roman" w:cs="Times New Roman"/>
          <w:sz w:val="24"/>
          <w:szCs w:val="24"/>
        </w:rPr>
      </w:pPr>
      <w:r>
        <w:rPr>
          <w:noProof/>
          <w:lang w:eastAsia="fr-FR"/>
        </w:rPr>
        <w:drawing>
          <wp:inline distT="0" distB="0" distL="0" distR="0" wp14:anchorId="58475678" wp14:editId="669EDDE8">
            <wp:extent cx="5057775" cy="2743200"/>
            <wp:effectExtent l="0" t="0" r="9525"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E7CAD" w:rsidRDefault="00466089" w:rsidP="008E7CAD">
      <w:pPr>
        <w:spacing w:after="120"/>
        <w:rPr>
          <w:rFonts w:ascii="Times New Roman" w:hAnsi="Times New Roman" w:cs="Times New Roman"/>
          <w:sz w:val="24"/>
          <w:szCs w:val="24"/>
        </w:rPr>
      </w:pPr>
      <w:r>
        <w:t>Source : SSAG, SCAOR ; 2022</w:t>
      </w:r>
    </w:p>
    <w:p w:rsidR="001059EC" w:rsidRPr="008E7CAD" w:rsidRDefault="001059EC" w:rsidP="008E7CAD">
      <w:p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Mise en place de comité d'entreprise</w:t>
      </w:r>
      <w:r w:rsidR="006C2D13">
        <w:rPr>
          <w:rFonts w:ascii="Times New Roman" w:hAnsi="Times New Roman" w:cs="Times New Roman"/>
          <w:b/>
          <w:i/>
          <w:sz w:val="24"/>
          <w:szCs w:val="24"/>
        </w:rPr>
        <w:t>s</w:t>
      </w:r>
      <w:r w:rsidR="00200D7E">
        <w:rPr>
          <w:rFonts w:ascii="Times New Roman" w:hAnsi="Times New Roman" w:cs="Times New Roman"/>
          <w:b/>
          <w:i/>
          <w:sz w:val="24"/>
          <w:szCs w:val="24"/>
        </w:rPr>
        <w:t xml:space="preserve"> : 30 comités mis en place à </w:t>
      </w:r>
      <w:proofErr w:type="spellStart"/>
      <w:r w:rsidR="00200D7E">
        <w:rPr>
          <w:rFonts w:ascii="Times New Roman" w:hAnsi="Times New Roman" w:cs="Times New Roman"/>
          <w:b/>
          <w:i/>
          <w:sz w:val="24"/>
          <w:szCs w:val="24"/>
        </w:rPr>
        <w:t>Analamanga</w:t>
      </w:r>
      <w:proofErr w:type="spellEnd"/>
    </w:p>
    <w:p w:rsidR="00AC2410" w:rsidRPr="00AC2410" w:rsidRDefault="00AC2410" w:rsidP="00AC2410">
      <w:pPr>
        <w:pStyle w:val="Paragraphedeliste"/>
        <w:numPr>
          <w:ilvl w:val="0"/>
          <w:numId w:val="2"/>
        </w:numPr>
        <w:spacing w:after="120"/>
        <w:rPr>
          <w:rFonts w:ascii="Times New Roman" w:hAnsi="Times New Roman" w:cs="Times New Roman"/>
          <w:sz w:val="24"/>
          <w:szCs w:val="24"/>
        </w:rPr>
      </w:pPr>
    </w:p>
    <w:p w:rsidR="00DF5FC4" w:rsidRPr="00EF6589" w:rsidRDefault="00DF5FC4" w:rsidP="00AC2410">
      <w:pPr>
        <w:pStyle w:val="Paragraphedeliste"/>
        <w:numPr>
          <w:ilvl w:val="2"/>
          <w:numId w:val="10"/>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Lutte contre le Travail des enfants</w:t>
      </w:r>
      <w:r w:rsidR="00200D7E">
        <w:rPr>
          <w:rFonts w:ascii="Times New Roman" w:hAnsi="Times New Roman" w:cs="Times New Roman"/>
          <w:b/>
          <w:i/>
          <w:sz w:val="24"/>
          <w:szCs w:val="24"/>
        </w:rPr>
        <w:t> : 11 sensibilisations et ateliers organisées, la majorité absolue dans la Région SAVA</w:t>
      </w:r>
    </w:p>
    <w:p w:rsidR="00F36BB8" w:rsidRPr="00AC2410" w:rsidRDefault="00F36BB8" w:rsidP="00F36BB8">
      <w:pPr>
        <w:pStyle w:val="Lgende"/>
        <w:numPr>
          <w:ilvl w:val="0"/>
          <w:numId w:val="2"/>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18</w:t>
      </w:r>
      <w:r w:rsidRPr="00A55236">
        <w:rPr>
          <w:sz w:val="22"/>
          <w:szCs w:val="22"/>
        </w:rPr>
        <w:fldChar w:fldCharType="end"/>
      </w:r>
      <w:r w:rsidRPr="00A55236">
        <w:rPr>
          <w:sz w:val="22"/>
          <w:szCs w:val="22"/>
        </w:rPr>
        <w:t>.</w:t>
      </w:r>
      <w:r>
        <w:rPr>
          <w:sz w:val="22"/>
          <w:szCs w:val="22"/>
        </w:rPr>
        <w:t xml:space="preserve"> Répartition de sensibilisation et d’atelier de lutte contre le travail des enfants selon les Régions</w:t>
      </w:r>
    </w:p>
    <w:p w:rsidR="00AC2410" w:rsidRPr="00AC2410" w:rsidRDefault="00E36DD2" w:rsidP="00447524">
      <w:pPr>
        <w:pStyle w:val="Paragraphedeliste"/>
        <w:numPr>
          <w:ilvl w:val="0"/>
          <w:numId w:val="2"/>
        </w:numPr>
        <w:spacing w:after="0"/>
        <w:jc w:val="center"/>
        <w:rPr>
          <w:rFonts w:ascii="Times New Roman" w:hAnsi="Times New Roman" w:cs="Times New Roman"/>
          <w:sz w:val="24"/>
          <w:szCs w:val="24"/>
        </w:rPr>
      </w:pPr>
      <w:r>
        <w:rPr>
          <w:noProof/>
          <w:lang w:eastAsia="fr-FR"/>
        </w:rPr>
        <w:drawing>
          <wp:inline distT="0" distB="0" distL="0" distR="0" wp14:anchorId="04893D47" wp14:editId="033E37A0">
            <wp:extent cx="5760720" cy="2068830"/>
            <wp:effectExtent l="0" t="0" r="11430" b="762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C2410" w:rsidRDefault="00466089" w:rsidP="001059EC">
      <w:pPr>
        <w:spacing w:after="120"/>
        <w:rPr>
          <w:rFonts w:ascii="Times New Roman" w:hAnsi="Times New Roman" w:cs="Times New Roman"/>
          <w:sz w:val="24"/>
          <w:szCs w:val="24"/>
        </w:rPr>
      </w:pPr>
      <w:r>
        <w:t>Source : SSAG, SCAOR ; 2022</w:t>
      </w:r>
    </w:p>
    <w:p w:rsidR="00A12DEE" w:rsidRDefault="00A12DEE">
      <w:pPr>
        <w:rPr>
          <w:rFonts w:ascii="Times New Roman" w:hAnsi="Times New Roman" w:cs="Times New Roman"/>
          <w:sz w:val="24"/>
          <w:szCs w:val="24"/>
        </w:rPr>
      </w:pPr>
      <w:r>
        <w:rPr>
          <w:rFonts w:ascii="Times New Roman" w:hAnsi="Times New Roman" w:cs="Times New Roman"/>
          <w:sz w:val="24"/>
          <w:szCs w:val="24"/>
        </w:rPr>
        <w:br w:type="page"/>
      </w:r>
    </w:p>
    <w:p w:rsidR="00DF5FC4" w:rsidRPr="00EF6589" w:rsidRDefault="00DF5FC4" w:rsidP="00EF6589">
      <w:pPr>
        <w:pStyle w:val="Paragraphedeliste"/>
        <w:numPr>
          <w:ilvl w:val="1"/>
          <w:numId w:val="5"/>
        </w:numPr>
        <w:spacing w:after="120"/>
        <w:outlineLvl w:val="1"/>
        <w:rPr>
          <w:rFonts w:ascii="Times New Roman" w:hAnsi="Times New Roman" w:cs="Times New Roman"/>
          <w:b/>
          <w:sz w:val="24"/>
          <w:szCs w:val="24"/>
        </w:rPr>
      </w:pPr>
      <w:r w:rsidRPr="00EF6589">
        <w:rPr>
          <w:rFonts w:ascii="Times New Roman" w:hAnsi="Times New Roman" w:cs="Times New Roman"/>
          <w:b/>
          <w:sz w:val="24"/>
          <w:szCs w:val="24"/>
        </w:rPr>
        <w:lastRenderedPageBreak/>
        <w:t>Service EMPLOI : Attestation de chômage, visa et promotion de l'emploi</w:t>
      </w: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t>Visites d’établissements (Inspection d'emploi)</w:t>
      </w:r>
      <w:r w:rsidR="00103266" w:rsidRPr="00041503">
        <w:rPr>
          <w:rFonts w:ascii="Times New Roman" w:hAnsi="Times New Roman" w:cs="Times New Roman"/>
          <w:b/>
          <w:i/>
          <w:color w:val="000000" w:themeColor="text1"/>
        </w:rPr>
        <w:t xml:space="preserve"> : 74 établissements visités répartis relativement égale dans les Régions Sofia et </w:t>
      </w:r>
      <w:proofErr w:type="spellStart"/>
      <w:r w:rsidR="00103266" w:rsidRPr="00041503">
        <w:rPr>
          <w:rFonts w:ascii="Times New Roman" w:hAnsi="Times New Roman" w:cs="Times New Roman"/>
          <w:b/>
          <w:i/>
          <w:color w:val="000000" w:themeColor="text1"/>
        </w:rPr>
        <w:t>Vakinankaratra</w:t>
      </w:r>
      <w:proofErr w:type="spellEnd"/>
    </w:p>
    <w:p w:rsidR="00EA13AB" w:rsidRPr="00AC2410" w:rsidRDefault="00EA13AB" w:rsidP="00EA13A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19</w:t>
      </w:r>
      <w:r w:rsidRPr="00A55236">
        <w:rPr>
          <w:sz w:val="22"/>
          <w:szCs w:val="22"/>
        </w:rPr>
        <w:fldChar w:fldCharType="end"/>
      </w:r>
      <w:r w:rsidRPr="00A55236">
        <w:rPr>
          <w:sz w:val="22"/>
          <w:szCs w:val="22"/>
        </w:rPr>
        <w:t>.</w:t>
      </w:r>
      <w:r>
        <w:rPr>
          <w:sz w:val="22"/>
          <w:szCs w:val="22"/>
        </w:rPr>
        <w:t xml:space="preserve"> Répartition d’établissements inspectés selon les Régions</w:t>
      </w:r>
    </w:p>
    <w:p w:rsidR="00C8682E" w:rsidRPr="00C8682E" w:rsidRDefault="000272EF"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7881FDBC" wp14:editId="2DF014FA">
            <wp:extent cx="4572000" cy="2743200"/>
            <wp:effectExtent l="0" t="0" r="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8682E" w:rsidRDefault="00466089" w:rsidP="00C8682E">
      <w:pPr>
        <w:pStyle w:val="Paragraphedeliste"/>
        <w:spacing w:after="120"/>
        <w:ind w:left="0"/>
        <w:contextualSpacing w:val="0"/>
      </w:pPr>
      <w:r>
        <w:t>Source : SSAG, SCAOR ; 2022</w:t>
      </w:r>
    </w:p>
    <w:p w:rsidR="00466089" w:rsidRPr="00C8682E" w:rsidRDefault="00466089" w:rsidP="00C8682E">
      <w:pPr>
        <w:pStyle w:val="Paragraphedeliste"/>
        <w:spacing w:after="120"/>
        <w:ind w:left="0"/>
        <w:contextualSpacing w:val="0"/>
        <w:rPr>
          <w:rFonts w:ascii="Times New Roman" w:hAnsi="Times New Roman" w:cs="Times New Roman"/>
          <w:sz w:val="24"/>
          <w:szCs w:val="24"/>
        </w:rPr>
      </w:pP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t>Délivrance d'Attestation de chômage</w:t>
      </w:r>
      <w:r w:rsidR="00103266" w:rsidRPr="00041503">
        <w:rPr>
          <w:rFonts w:ascii="Times New Roman" w:hAnsi="Times New Roman" w:cs="Times New Roman"/>
          <w:b/>
          <w:i/>
          <w:color w:val="000000" w:themeColor="text1"/>
        </w:rPr>
        <w:t xml:space="preserve"> : </w:t>
      </w:r>
      <w:r w:rsidR="00880491" w:rsidRPr="00041503">
        <w:rPr>
          <w:rFonts w:ascii="Times New Roman" w:hAnsi="Times New Roman" w:cs="Times New Roman"/>
          <w:b/>
          <w:i/>
          <w:color w:val="000000" w:themeColor="text1"/>
        </w:rPr>
        <w:t xml:space="preserve">3764 attestations délivrées, 43% dans la Région </w:t>
      </w:r>
      <w:proofErr w:type="spellStart"/>
      <w:r w:rsidR="00880491" w:rsidRPr="00041503">
        <w:rPr>
          <w:rFonts w:ascii="Times New Roman" w:hAnsi="Times New Roman" w:cs="Times New Roman"/>
          <w:b/>
          <w:i/>
          <w:color w:val="000000" w:themeColor="text1"/>
        </w:rPr>
        <w:t>Boeny</w:t>
      </w:r>
      <w:proofErr w:type="spellEnd"/>
    </w:p>
    <w:p w:rsidR="00EA13AB" w:rsidRPr="00AC2410" w:rsidRDefault="00EA13AB" w:rsidP="00EA13A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20</w:t>
      </w:r>
      <w:r w:rsidRPr="00A55236">
        <w:rPr>
          <w:sz w:val="22"/>
          <w:szCs w:val="22"/>
        </w:rPr>
        <w:fldChar w:fldCharType="end"/>
      </w:r>
      <w:r w:rsidRPr="00A55236">
        <w:rPr>
          <w:sz w:val="22"/>
          <w:szCs w:val="22"/>
        </w:rPr>
        <w:t>.</w:t>
      </w:r>
      <w:r>
        <w:rPr>
          <w:sz w:val="22"/>
          <w:szCs w:val="22"/>
        </w:rPr>
        <w:t xml:space="preserve"> Répartition de</w:t>
      </w:r>
      <w:r w:rsidR="00680103">
        <w:rPr>
          <w:sz w:val="22"/>
          <w:szCs w:val="22"/>
        </w:rPr>
        <w:t>s</w:t>
      </w:r>
      <w:r>
        <w:rPr>
          <w:sz w:val="22"/>
          <w:szCs w:val="22"/>
        </w:rPr>
        <w:t xml:space="preserve"> bénéficiaires d’attestation de chômage selon les Régions</w:t>
      </w:r>
    </w:p>
    <w:p w:rsidR="00C8682E" w:rsidRPr="00C8682E" w:rsidRDefault="000272EF"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3A60265E" wp14:editId="1F43819C">
            <wp:extent cx="4572000" cy="274320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8682E" w:rsidRDefault="00466089" w:rsidP="00C8682E">
      <w:pPr>
        <w:pStyle w:val="Paragraphedeliste"/>
        <w:spacing w:after="120"/>
        <w:ind w:left="0"/>
        <w:contextualSpacing w:val="0"/>
        <w:rPr>
          <w:rFonts w:ascii="Times New Roman" w:hAnsi="Times New Roman" w:cs="Times New Roman"/>
          <w:sz w:val="24"/>
          <w:szCs w:val="24"/>
        </w:rPr>
      </w:pPr>
      <w:r>
        <w:t>Source : SSAG, SCAOR ; 2022</w:t>
      </w:r>
    </w:p>
    <w:p w:rsidR="00466089" w:rsidRPr="00C8682E" w:rsidRDefault="00466089" w:rsidP="00C8682E">
      <w:pPr>
        <w:pStyle w:val="Paragraphedeliste"/>
        <w:spacing w:after="120"/>
        <w:ind w:left="0"/>
        <w:contextualSpacing w:val="0"/>
        <w:rPr>
          <w:rFonts w:ascii="Times New Roman" w:hAnsi="Times New Roman" w:cs="Times New Roman"/>
          <w:sz w:val="24"/>
          <w:szCs w:val="24"/>
        </w:rPr>
      </w:pPr>
    </w:p>
    <w:p w:rsidR="00A12DEE" w:rsidRDefault="00A12DEE">
      <w:pPr>
        <w:rPr>
          <w:rFonts w:ascii="Times New Roman" w:eastAsiaTheme="majorEastAsia" w:hAnsi="Times New Roman" w:cs="Times New Roman"/>
          <w:b/>
          <w:i/>
          <w:color w:val="000000" w:themeColor="text1"/>
          <w:sz w:val="24"/>
          <w:szCs w:val="24"/>
        </w:rPr>
      </w:pPr>
      <w:r>
        <w:rPr>
          <w:rFonts w:ascii="Times New Roman" w:hAnsi="Times New Roman" w:cs="Times New Roman"/>
          <w:b/>
          <w:i/>
          <w:color w:val="000000" w:themeColor="text1"/>
        </w:rPr>
        <w:br w:type="page"/>
      </w: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lastRenderedPageBreak/>
        <w:t>Réception de demande</w:t>
      </w:r>
      <w:r w:rsidR="00680103">
        <w:rPr>
          <w:rFonts w:ascii="Times New Roman" w:hAnsi="Times New Roman" w:cs="Times New Roman"/>
          <w:b/>
          <w:i/>
          <w:color w:val="000000" w:themeColor="text1"/>
        </w:rPr>
        <w:t>s</w:t>
      </w:r>
      <w:r w:rsidRPr="00041503">
        <w:rPr>
          <w:rFonts w:ascii="Times New Roman" w:hAnsi="Times New Roman" w:cs="Times New Roman"/>
          <w:b/>
          <w:i/>
          <w:color w:val="000000" w:themeColor="text1"/>
        </w:rPr>
        <w:t xml:space="preserve"> d'emploi</w:t>
      </w:r>
      <w:r w:rsidR="00880491" w:rsidRPr="00041503">
        <w:rPr>
          <w:rFonts w:ascii="Times New Roman" w:hAnsi="Times New Roman" w:cs="Times New Roman"/>
          <w:b/>
          <w:i/>
          <w:color w:val="000000" w:themeColor="text1"/>
        </w:rPr>
        <w:t> : 267 demandes reçues, 85% dans la Région SAVA</w:t>
      </w:r>
    </w:p>
    <w:p w:rsidR="00EA13AB" w:rsidRPr="00AC2410" w:rsidRDefault="00EA13AB" w:rsidP="00EA13A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21</w:t>
      </w:r>
      <w:r w:rsidRPr="00A55236">
        <w:rPr>
          <w:sz w:val="22"/>
          <w:szCs w:val="22"/>
        </w:rPr>
        <w:fldChar w:fldCharType="end"/>
      </w:r>
      <w:r w:rsidRPr="00A55236">
        <w:rPr>
          <w:sz w:val="22"/>
          <w:szCs w:val="22"/>
        </w:rPr>
        <w:t>.</w:t>
      </w:r>
      <w:r>
        <w:rPr>
          <w:sz w:val="22"/>
          <w:szCs w:val="22"/>
        </w:rPr>
        <w:t xml:space="preserve"> Répartition de</w:t>
      </w:r>
      <w:r w:rsidR="00680103">
        <w:rPr>
          <w:sz w:val="22"/>
          <w:szCs w:val="22"/>
        </w:rPr>
        <w:t>s</w:t>
      </w:r>
      <w:r>
        <w:rPr>
          <w:sz w:val="22"/>
          <w:szCs w:val="22"/>
        </w:rPr>
        <w:t xml:space="preserve"> demandes d’emploi reçues selon les Régions</w:t>
      </w:r>
    </w:p>
    <w:p w:rsidR="00C8682E" w:rsidRDefault="00C76E12"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0E4A40E4" wp14:editId="38CD9173">
            <wp:extent cx="4572000" cy="2743200"/>
            <wp:effectExtent l="0" t="0" r="0" b="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66089" w:rsidRPr="00C8682E" w:rsidRDefault="00466089" w:rsidP="00C8682E">
      <w:pPr>
        <w:pStyle w:val="Paragraphedeliste"/>
        <w:spacing w:after="120"/>
        <w:ind w:left="0"/>
        <w:contextualSpacing w:val="0"/>
        <w:rPr>
          <w:rFonts w:ascii="Times New Roman" w:hAnsi="Times New Roman" w:cs="Times New Roman"/>
          <w:sz w:val="24"/>
          <w:szCs w:val="24"/>
        </w:rPr>
      </w:pPr>
      <w:r>
        <w:t>Source : SSAG, SCAOR ; 2022</w:t>
      </w:r>
    </w:p>
    <w:p w:rsidR="00C8682E" w:rsidRPr="00C8682E" w:rsidRDefault="00C8682E" w:rsidP="00C8682E">
      <w:pPr>
        <w:pStyle w:val="Paragraphedeliste"/>
        <w:spacing w:after="120"/>
        <w:ind w:left="0"/>
        <w:contextualSpacing w:val="0"/>
        <w:rPr>
          <w:rFonts w:ascii="Times New Roman" w:hAnsi="Times New Roman" w:cs="Times New Roman"/>
          <w:sz w:val="24"/>
          <w:szCs w:val="24"/>
        </w:rPr>
      </w:pP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t>Visa d'offre d'emploi</w:t>
      </w:r>
      <w:r w:rsidR="00880491" w:rsidRPr="00041503">
        <w:rPr>
          <w:rFonts w:ascii="Times New Roman" w:hAnsi="Times New Roman" w:cs="Times New Roman"/>
          <w:b/>
          <w:i/>
          <w:color w:val="000000" w:themeColor="text1"/>
        </w:rPr>
        <w:t xml:space="preserve"> : 1210 offres visées, 64% dans la Région </w:t>
      </w:r>
      <w:proofErr w:type="spellStart"/>
      <w:r w:rsidR="00880491" w:rsidRPr="00041503">
        <w:rPr>
          <w:rFonts w:ascii="Times New Roman" w:hAnsi="Times New Roman" w:cs="Times New Roman"/>
          <w:b/>
          <w:i/>
          <w:color w:val="000000" w:themeColor="text1"/>
        </w:rPr>
        <w:t>Vakinankaratra</w:t>
      </w:r>
      <w:proofErr w:type="spellEnd"/>
    </w:p>
    <w:p w:rsidR="00EA13AB" w:rsidRPr="00AC2410" w:rsidRDefault="00EA13AB" w:rsidP="00EA13A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22</w:t>
      </w:r>
      <w:r w:rsidRPr="00A55236">
        <w:rPr>
          <w:sz w:val="22"/>
          <w:szCs w:val="22"/>
        </w:rPr>
        <w:fldChar w:fldCharType="end"/>
      </w:r>
      <w:r w:rsidRPr="00A55236">
        <w:rPr>
          <w:sz w:val="22"/>
          <w:szCs w:val="22"/>
        </w:rPr>
        <w:t>.</w:t>
      </w:r>
      <w:r>
        <w:rPr>
          <w:sz w:val="22"/>
          <w:szCs w:val="22"/>
        </w:rPr>
        <w:t xml:space="preserve"> Répartition </w:t>
      </w:r>
      <w:r w:rsidR="00680103">
        <w:rPr>
          <w:sz w:val="22"/>
          <w:szCs w:val="22"/>
        </w:rPr>
        <w:t xml:space="preserve">des </w:t>
      </w:r>
      <w:r w:rsidR="000D747A">
        <w:rPr>
          <w:sz w:val="22"/>
          <w:szCs w:val="22"/>
        </w:rPr>
        <w:t>offres d’emploi visées</w:t>
      </w:r>
      <w:r>
        <w:rPr>
          <w:sz w:val="22"/>
          <w:szCs w:val="22"/>
        </w:rPr>
        <w:t xml:space="preserve"> selon les Régions</w:t>
      </w:r>
    </w:p>
    <w:p w:rsidR="00C8682E" w:rsidRDefault="00C76E12"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3190BCA5" wp14:editId="12D3E732">
            <wp:extent cx="4572000" cy="2743200"/>
            <wp:effectExtent l="0" t="0" r="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66089" w:rsidRPr="00C8682E" w:rsidRDefault="00466089" w:rsidP="00C8682E">
      <w:pPr>
        <w:pStyle w:val="Paragraphedeliste"/>
        <w:spacing w:after="120"/>
        <w:ind w:left="0"/>
        <w:contextualSpacing w:val="0"/>
        <w:rPr>
          <w:rFonts w:ascii="Times New Roman" w:hAnsi="Times New Roman" w:cs="Times New Roman"/>
          <w:sz w:val="24"/>
          <w:szCs w:val="24"/>
        </w:rPr>
      </w:pPr>
      <w:r>
        <w:t>Source : SSAG, SCAOR ; 2022</w:t>
      </w:r>
    </w:p>
    <w:p w:rsidR="00C8682E" w:rsidRPr="00C8682E" w:rsidRDefault="00C8682E" w:rsidP="00C8682E">
      <w:pPr>
        <w:pStyle w:val="Paragraphedeliste"/>
        <w:spacing w:after="120"/>
        <w:ind w:left="0"/>
        <w:contextualSpacing w:val="0"/>
        <w:rPr>
          <w:rFonts w:ascii="Times New Roman" w:hAnsi="Times New Roman" w:cs="Times New Roman"/>
          <w:sz w:val="24"/>
          <w:szCs w:val="24"/>
        </w:rPr>
      </w:pPr>
    </w:p>
    <w:p w:rsidR="00A12DEE" w:rsidRDefault="00A12DEE">
      <w:pPr>
        <w:rPr>
          <w:rFonts w:ascii="Times New Roman" w:eastAsiaTheme="majorEastAsia" w:hAnsi="Times New Roman" w:cs="Times New Roman"/>
          <w:b/>
          <w:i/>
          <w:color w:val="000000" w:themeColor="text1"/>
          <w:sz w:val="24"/>
          <w:szCs w:val="24"/>
        </w:rPr>
      </w:pPr>
      <w:r>
        <w:rPr>
          <w:rFonts w:ascii="Times New Roman" w:hAnsi="Times New Roman" w:cs="Times New Roman"/>
          <w:b/>
          <w:i/>
          <w:color w:val="000000" w:themeColor="text1"/>
        </w:rPr>
        <w:br w:type="page"/>
      </w: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lastRenderedPageBreak/>
        <w:t>Publication des offres d'emploi</w:t>
      </w:r>
      <w:r w:rsidR="00880491" w:rsidRPr="00041503">
        <w:rPr>
          <w:rFonts w:ascii="Times New Roman" w:hAnsi="Times New Roman" w:cs="Times New Roman"/>
          <w:b/>
          <w:i/>
          <w:color w:val="000000" w:themeColor="text1"/>
        </w:rPr>
        <w:t> : 36 offres publiées, la quasi-totalité dans la Région SAVA</w:t>
      </w:r>
    </w:p>
    <w:p w:rsidR="000D747A" w:rsidRPr="00AC2410" w:rsidRDefault="000D747A" w:rsidP="000D747A">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23</w:t>
      </w:r>
      <w:r w:rsidRPr="00A55236">
        <w:rPr>
          <w:sz w:val="22"/>
          <w:szCs w:val="22"/>
        </w:rPr>
        <w:fldChar w:fldCharType="end"/>
      </w:r>
      <w:r w:rsidRPr="00A55236">
        <w:rPr>
          <w:sz w:val="22"/>
          <w:szCs w:val="22"/>
        </w:rPr>
        <w:t>.</w:t>
      </w:r>
      <w:r>
        <w:rPr>
          <w:sz w:val="22"/>
          <w:szCs w:val="22"/>
        </w:rPr>
        <w:t xml:space="preserve"> Répartition d</w:t>
      </w:r>
      <w:r w:rsidR="00680103">
        <w:rPr>
          <w:sz w:val="22"/>
          <w:szCs w:val="22"/>
        </w:rPr>
        <w:t xml:space="preserve">es </w:t>
      </w:r>
      <w:r>
        <w:rPr>
          <w:sz w:val="22"/>
          <w:szCs w:val="22"/>
        </w:rPr>
        <w:t>offres d’emploi publiées selon les Régions</w:t>
      </w:r>
    </w:p>
    <w:p w:rsidR="00C8682E" w:rsidRPr="00C8682E" w:rsidRDefault="0013720F"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2A7D25D1" wp14:editId="6150BDB9">
            <wp:extent cx="4572000" cy="2743200"/>
            <wp:effectExtent l="0" t="0" r="0" b="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47524" w:rsidRPr="00B962FA" w:rsidRDefault="00447524" w:rsidP="00447524">
      <w:pPr>
        <w:spacing w:after="120"/>
        <w:rPr>
          <w:rFonts w:ascii="Times New Roman" w:hAnsi="Times New Roman" w:cs="Times New Roman"/>
          <w:sz w:val="24"/>
          <w:szCs w:val="24"/>
        </w:rPr>
      </w:pPr>
      <w:r>
        <w:t>Source : SSAG, SCAOR ; 2022</w:t>
      </w:r>
    </w:p>
    <w:p w:rsidR="00447524" w:rsidRPr="00C8682E" w:rsidRDefault="00447524" w:rsidP="00C8682E">
      <w:pPr>
        <w:pStyle w:val="Paragraphedeliste"/>
        <w:spacing w:after="120"/>
        <w:ind w:left="0"/>
        <w:contextualSpacing w:val="0"/>
        <w:rPr>
          <w:rFonts w:ascii="Times New Roman" w:hAnsi="Times New Roman" w:cs="Times New Roman"/>
          <w:sz w:val="24"/>
          <w:szCs w:val="24"/>
        </w:rPr>
      </w:pP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t>Renseignements périodiques</w:t>
      </w:r>
      <w:r w:rsidR="00880491" w:rsidRPr="00041503">
        <w:rPr>
          <w:rFonts w:ascii="Times New Roman" w:hAnsi="Times New Roman" w:cs="Times New Roman"/>
          <w:b/>
          <w:i/>
          <w:color w:val="000000" w:themeColor="text1"/>
        </w:rPr>
        <w:t xml:space="preserve"> : 569 renseignements fournis, 51% dans la Région </w:t>
      </w:r>
      <w:proofErr w:type="spellStart"/>
      <w:r w:rsidR="00880491" w:rsidRPr="00041503">
        <w:rPr>
          <w:rFonts w:ascii="Times New Roman" w:hAnsi="Times New Roman" w:cs="Times New Roman"/>
          <w:b/>
          <w:i/>
          <w:color w:val="000000" w:themeColor="text1"/>
        </w:rPr>
        <w:t>Vakinankaratra</w:t>
      </w:r>
      <w:proofErr w:type="spellEnd"/>
    </w:p>
    <w:p w:rsidR="000D747A" w:rsidRPr="00AC2410" w:rsidRDefault="000D747A" w:rsidP="000D747A">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24</w:t>
      </w:r>
      <w:r w:rsidRPr="00A55236">
        <w:rPr>
          <w:sz w:val="22"/>
          <w:szCs w:val="22"/>
        </w:rPr>
        <w:fldChar w:fldCharType="end"/>
      </w:r>
      <w:r w:rsidRPr="00A55236">
        <w:rPr>
          <w:sz w:val="22"/>
          <w:szCs w:val="22"/>
        </w:rPr>
        <w:t>.</w:t>
      </w:r>
      <w:r>
        <w:rPr>
          <w:sz w:val="22"/>
          <w:szCs w:val="22"/>
        </w:rPr>
        <w:t xml:space="preserve"> Répartition de</w:t>
      </w:r>
      <w:r w:rsidR="00680103">
        <w:rPr>
          <w:sz w:val="22"/>
          <w:szCs w:val="22"/>
        </w:rPr>
        <w:t>s</w:t>
      </w:r>
      <w:r>
        <w:rPr>
          <w:sz w:val="22"/>
          <w:szCs w:val="22"/>
        </w:rPr>
        <w:t xml:space="preserve"> renseignements périodiques fournis selon les Régions</w:t>
      </w:r>
    </w:p>
    <w:p w:rsidR="00C8682E" w:rsidRDefault="0013720F"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315CC8C9" wp14:editId="51B0E566">
            <wp:extent cx="4572000" cy="2743200"/>
            <wp:effectExtent l="0" t="0" r="0" b="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66089" w:rsidRPr="00C8682E" w:rsidRDefault="00466089" w:rsidP="00C8682E">
      <w:pPr>
        <w:pStyle w:val="Paragraphedeliste"/>
        <w:spacing w:after="120"/>
        <w:ind w:left="0"/>
        <w:contextualSpacing w:val="0"/>
        <w:rPr>
          <w:rFonts w:ascii="Times New Roman" w:hAnsi="Times New Roman" w:cs="Times New Roman"/>
          <w:sz w:val="24"/>
          <w:szCs w:val="24"/>
        </w:rPr>
      </w:pPr>
      <w:r>
        <w:t>Source : SSAG, SCAOR ; 2022</w:t>
      </w:r>
    </w:p>
    <w:p w:rsidR="00C8682E" w:rsidRPr="00C8682E" w:rsidRDefault="00C8682E" w:rsidP="00C8682E">
      <w:pPr>
        <w:pStyle w:val="Paragraphedeliste"/>
        <w:spacing w:after="120"/>
        <w:ind w:left="0"/>
        <w:contextualSpacing w:val="0"/>
        <w:rPr>
          <w:rFonts w:ascii="Times New Roman" w:hAnsi="Times New Roman" w:cs="Times New Roman"/>
          <w:sz w:val="24"/>
          <w:szCs w:val="24"/>
        </w:rPr>
      </w:pPr>
    </w:p>
    <w:p w:rsidR="00A12DEE" w:rsidRDefault="00A12DEE">
      <w:pPr>
        <w:rPr>
          <w:rFonts w:ascii="Times New Roman" w:eastAsiaTheme="majorEastAsia" w:hAnsi="Times New Roman" w:cs="Times New Roman"/>
          <w:b/>
          <w:i/>
          <w:color w:val="000000" w:themeColor="text1"/>
          <w:sz w:val="24"/>
          <w:szCs w:val="24"/>
        </w:rPr>
      </w:pPr>
      <w:r>
        <w:rPr>
          <w:rFonts w:ascii="Times New Roman" w:hAnsi="Times New Roman" w:cs="Times New Roman"/>
          <w:b/>
          <w:i/>
          <w:color w:val="000000" w:themeColor="text1"/>
        </w:rPr>
        <w:br w:type="page"/>
      </w: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lastRenderedPageBreak/>
        <w:t>Déclaration d’établissements</w:t>
      </w:r>
      <w:r w:rsidR="00880491" w:rsidRPr="00041503">
        <w:rPr>
          <w:rFonts w:ascii="Times New Roman" w:hAnsi="Times New Roman" w:cs="Times New Roman"/>
          <w:b/>
          <w:i/>
          <w:color w:val="000000" w:themeColor="text1"/>
        </w:rPr>
        <w:t> : 59 déclarations reçues, 61% dans la Région Sofia</w:t>
      </w:r>
    </w:p>
    <w:p w:rsidR="000D747A" w:rsidRPr="00AC2410" w:rsidRDefault="000D747A" w:rsidP="000D747A">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25</w:t>
      </w:r>
      <w:r w:rsidRPr="00A55236">
        <w:rPr>
          <w:sz w:val="22"/>
          <w:szCs w:val="22"/>
        </w:rPr>
        <w:fldChar w:fldCharType="end"/>
      </w:r>
      <w:r w:rsidRPr="00A55236">
        <w:rPr>
          <w:sz w:val="22"/>
          <w:szCs w:val="22"/>
        </w:rPr>
        <w:t>.</w:t>
      </w:r>
      <w:r w:rsidR="00680103">
        <w:rPr>
          <w:sz w:val="22"/>
          <w:szCs w:val="22"/>
        </w:rPr>
        <w:t xml:space="preserve"> Répartition des </w:t>
      </w:r>
      <w:r>
        <w:rPr>
          <w:sz w:val="22"/>
          <w:szCs w:val="22"/>
        </w:rPr>
        <w:t>établissements déclarés selon les Régions</w:t>
      </w:r>
    </w:p>
    <w:p w:rsidR="00C8682E" w:rsidRDefault="0013720F"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15620195" wp14:editId="10717F23">
            <wp:extent cx="4572000" cy="2743200"/>
            <wp:effectExtent l="0" t="0" r="0" b="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66089" w:rsidRPr="00C8682E" w:rsidRDefault="00466089" w:rsidP="00C8682E">
      <w:pPr>
        <w:pStyle w:val="Paragraphedeliste"/>
        <w:spacing w:after="120"/>
        <w:ind w:left="0"/>
        <w:contextualSpacing w:val="0"/>
        <w:rPr>
          <w:rFonts w:ascii="Times New Roman" w:hAnsi="Times New Roman" w:cs="Times New Roman"/>
          <w:sz w:val="24"/>
          <w:szCs w:val="24"/>
        </w:rPr>
      </w:pPr>
      <w:r>
        <w:t>Source : SSAG, SCAOR ; 2022</w:t>
      </w:r>
    </w:p>
    <w:p w:rsidR="00C8682E" w:rsidRPr="00C8682E" w:rsidRDefault="00C8682E" w:rsidP="00C8682E">
      <w:pPr>
        <w:pStyle w:val="Paragraphedeliste"/>
        <w:spacing w:after="120"/>
        <w:ind w:left="0"/>
        <w:contextualSpacing w:val="0"/>
        <w:rPr>
          <w:rFonts w:ascii="Times New Roman" w:hAnsi="Times New Roman" w:cs="Times New Roman"/>
          <w:sz w:val="24"/>
          <w:szCs w:val="24"/>
        </w:rPr>
      </w:pP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t>Réception de Demande</w:t>
      </w:r>
      <w:r w:rsidR="00680103">
        <w:rPr>
          <w:rFonts w:ascii="Times New Roman" w:hAnsi="Times New Roman" w:cs="Times New Roman"/>
          <w:b/>
          <w:i/>
          <w:color w:val="000000" w:themeColor="text1"/>
        </w:rPr>
        <w:t>s</w:t>
      </w:r>
      <w:r w:rsidRPr="00041503">
        <w:rPr>
          <w:rFonts w:ascii="Times New Roman" w:hAnsi="Times New Roman" w:cs="Times New Roman"/>
          <w:b/>
          <w:i/>
          <w:color w:val="000000" w:themeColor="text1"/>
        </w:rPr>
        <w:t xml:space="preserve"> de permis travail</w:t>
      </w:r>
      <w:r w:rsidR="00880491" w:rsidRPr="00041503">
        <w:rPr>
          <w:rFonts w:ascii="Times New Roman" w:hAnsi="Times New Roman" w:cs="Times New Roman"/>
          <w:b/>
          <w:i/>
          <w:color w:val="000000" w:themeColor="text1"/>
        </w:rPr>
        <w:t xml:space="preserve"> : 99 </w:t>
      </w:r>
      <w:r w:rsidR="000D747A" w:rsidRPr="00041503">
        <w:rPr>
          <w:rFonts w:ascii="Times New Roman" w:hAnsi="Times New Roman" w:cs="Times New Roman"/>
          <w:b/>
          <w:i/>
          <w:color w:val="000000" w:themeColor="text1"/>
        </w:rPr>
        <w:t>demande</w:t>
      </w:r>
      <w:r w:rsidR="00680103">
        <w:rPr>
          <w:rFonts w:ascii="Times New Roman" w:hAnsi="Times New Roman" w:cs="Times New Roman"/>
          <w:b/>
          <w:i/>
          <w:color w:val="000000" w:themeColor="text1"/>
        </w:rPr>
        <w:t>s</w:t>
      </w:r>
      <w:r w:rsidR="000D747A" w:rsidRPr="00041503">
        <w:rPr>
          <w:rFonts w:ascii="Times New Roman" w:hAnsi="Times New Roman" w:cs="Times New Roman"/>
          <w:b/>
          <w:i/>
          <w:color w:val="000000" w:themeColor="text1"/>
        </w:rPr>
        <w:t xml:space="preserve"> de </w:t>
      </w:r>
      <w:r w:rsidR="00880491" w:rsidRPr="00041503">
        <w:rPr>
          <w:rFonts w:ascii="Times New Roman" w:hAnsi="Times New Roman" w:cs="Times New Roman"/>
          <w:b/>
          <w:i/>
          <w:color w:val="000000" w:themeColor="text1"/>
        </w:rPr>
        <w:t xml:space="preserve">permis reçus, la moitié pour la Région </w:t>
      </w:r>
      <w:proofErr w:type="spellStart"/>
      <w:r w:rsidR="00880491" w:rsidRPr="00041503">
        <w:rPr>
          <w:rFonts w:ascii="Times New Roman" w:hAnsi="Times New Roman" w:cs="Times New Roman"/>
          <w:b/>
          <w:i/>
          <w:color w:val="000000" w:themeColor="text1"/>
        </w:rPr>
        <w:t>Vakinankaratra</w:t>
      </w:r>
      <w:proofErr w:type="spellEnd"/>
    </w:p>
    <w:p w:rsidR="000D747A" w:rsidRPr="00AC2410" w:rsidRDefault="000D747A" w:rsidP="000D747A">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26</w:t>
      </w:r>
      <w:r w:rsidRPr="00A55236">
        <w:rPr>
          <w:sz w:val="22"/>
          <w:szCs w:val="22"/>
        </w:rPr>
        <w:fldChar w:fldCharType="end"/>
      </w:r>
      <w:r w:rsidRPr="00A55236">
        <w:rPr>
          <w:sz w:val="22"/>
          <w:szCs w:val="22"/>
        </w:rPr>
        <w:t>.</w:t>
      </w:r>
      <w:r>
        <w:rPr>
          <w:sz w:val="22"/>
          <w:szCs w:val="22"/>
        </w:rPr>
        <w:t xml:space="preserve"> Répartition de</w:t>
      </w:r>
      <w:r w:rsidR="00680103">
        <w:rPr>
          <w:sz w:val="22"/>
          <w:szCs w:val="22"/>
        </w:rPr>
        <w:t>s</w:t>
      </w:r>
      <w:r>
        <w:rPr>
          <w:sz w:val="22"/>
          <w:szCs w:val="22"/>
        </w:rPr>
        <w:t xml:space="preserve"> demandeurs de permis de travail selon les Régions</w:t>
      </w:r>
    </w:p>
    <w:p w:rsidR="004F49DB" w:rsidRDefault="00260DAF"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3AA7F316" wp14:editId="582562F1">
            <wp:extent cx="4572000" cy="2743200"/>
            <wp:effectExtent l="0" t="0" r="0" b="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4F49DB" w:rsidRPr="004F49DB">
        <w:rPr>
          <w:rFonts w:ascii="Times New Roman" w:hAnsi="Times New Roman" w:cs="Times New Roman"/>
          <w:sz w:val="24"/>
          <w:szCs w:val="24"/>
        </w:rPr>
        <w:t xml:space="preserve"> </w:t>
      </w:r>
    </w:p>
    <w:p w:rsidR="00C8682E" w:rsidRPr="00C8682E" w:rsidRDefault="004F49DB" w:rsidP="004F49DB">
      <w:pPr>
        <w:pStyle w:val="Paragraphedeliste"/>
        <w:spacing w:after="120"/>
        <w:ind w:left="0"/>
        <w:contextualSpacing w:val="0"/>
        <w:rPr>
          <w:rFonts w:ascii="Times New Roman" w:hAnsi="Times New Roman" w:cs="Times New Roman"/>
          <w:sz w:val="24"/>
          <w:szCs w:val="24"/>
        </w:rPr>
      </w:pPr>
      <w:r>
        <w:t>Source : SSAG, SCAOR ; 2022</w:t>
      </w:r>
    </w:p>
    <w:p w:rsidR="00C8682E" w:rsidRPr="00C8682E" w:rsidRDefault="00C8682E" w:rsidP="00C8682E">
      <w:pPr>
        <w:pStyle w:val="Paragraphedeliste"/>
        <w:spacing w:after="120"/>
        <w:ind w:left="0"/>
        <w:contextualSpacing w:val="0"/>
        <w:rPr>
          <w:rFonts w:ascii="Times New Roman" w:hAnsi="Times New Roman" w:cs="Times New Roman"/>
          <w:sz w:val="24"/>
          <w:szCs w:val="24"/>
        </w:rPr>
      </w:pPr>
    </w:p>
    <w:p w:rsidR="00A12DEE" w:rsidRDefault="00A12DEE">
      <w:pPr>
        <w:rPr>
          <w:rFonts w:ascii="Times New Roman" w:eastAsiaTheme="majorEastAsia" w:hAnsi="Times New Roman" w:cs="Times New Roman"/>
          <w:b/>
          <w:i/>
          <w:color w:val="000000" w:themeColor="text1"/>
          <w:sz w:val="24"/>
          <w:szCs w:val="24"/>
        </w:rPr>
      </w:pPr>
      <w:r>
        <w:rPr>
          <w:rFonts w:ascii="Times New Roman" w:hAnsi="Times New Roman" w:cs="Times New Roman"/>
          <w:b/>
          <w:i/>
          <w:color w:val="000000" w:themeColor="text1"/>
        </w:rPr>
        <w:br w:type="page"/>
      </w: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lastRenderedPageBreak/>
        <w:t>Visa de contrat</w:t>
      </w:r>
      <w:r w:rsidR="00680103">
        <w:rPr>
          <w:rFonts w:ascii="Times New Roman" w:hAnsi="Times New Roman" w:cs="Times New Roman"/>
          <w:b/>
          <w:i/>
          <w:color w:val="000000" w:themeColor="text1"/>
        </w:rPr>
        <w:t>s</w:t>
      </w:r>
      <w:r w:rsidRPr="00041503">
        <w:rPr>
          <w:rFonts w:ascii="Times New Roman" w:hAnsi="Times New Roman" w:cs="Times New Roman"/>
          <w:b/>
          <w:i/>
          <w:color w:val="000000" w:themeColor="text1"/>
        </w:rPr>
        <w:t xml:space="preserve"> de travailleur</w:t>
      </w:r>
      <w:r w:rsidR="00680103">
        <w:rPr>
          <w:rFonts w:ascii="Times New Roman" w:hAnsi="Times New Roman" w:cs="Times New Roman"/>
          <w:b/>
          <w:i/>
          <w:color w:val="000000" w:themeColor="text1"/>
        </w:rPr>
        <w:t>s</w:t>
      </w:r>
      <w:r w:rsidRPr="00041503">
        <w:rPr>
          <w:rFonts w:ascii="Times New Roman" w:hAnsi="Times New Roman" w:cs="Times New Roman"/>
          <w:b/>
          <w:i/>
          <w:color w:val="000000" w:themeColor="text1"/>
        </w:rPr>
        <w:t xml:space="preserve"> étranger</w:t>
      </w:r>
      <w:r w:rsidR="00680103">
        <w:rPr>
          <w:rFonts w:ascii="Times New Roman" w:hAnsi="Times New Roman" w:cs="Times New Roman"/>
          <w:b/>
          <w:i/>
          <w:color w:val="000000" w:themeColor="text1"/>
        </w:rPr>
        <w:t>s</w:t>
      </w:r>
      <w:r w:rsidR="00880491" w:rsidRPr="00041503">
        <w:rPr>
          <w:rFonts w:ascii="Times New Roman" w:hAnsi="Times New Roman" w:cs="Times New Roman"/>
          <w:b/>
          <w:i/>
          <w:color w:val="000000" w:themeColor="text1"/>
        </w:rPr>
        <w:t xml:space="preserve"> : 434 contrats visés, 69% vont travailler dans la Régions </w:t>
      </w:r>
      <w:proofErr w:type="spellStart"/>
      <w:r w:rsidR="00880491" w:rsidRPr="00041503">
        <w:rPr>
          <w:rFonts w:ascii="Times New Roman" w:hAnsi="Times New Roman" w:cs="Times New Roman"/>
          <w:b/>
          <w:i/>
          <w:color w:val="000000" w:themeColor="text1"/>
        </w:rPr>
        <w:t>Vakinankaratra</w:t>
      </w:r>
      <w:proofErr w:type="spellEnd"/>
    </w:p>
    <w:p w:rsidR="000D747A" w:rsidRPr="00AC2410" w:rsidRDefault="000D747A" w:rsidP="000D747A">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27</w:t>
      </w:r>
      <w:r w:rsidRPr="00A55236">
        <w:rPr>
          <w:sz w:val="22"/>
          <w:szCs w:val="22"/>
        </w:rPr>
        <w:fldChar w:fldCharType="end"/>
      </w:r>
      <w:r w:rsidRPr="00A55236">
        <w:rPr>
          <w:sz w:val="22"/>
          <w:szCs w:val="22"/>
        </w:rPr>
        <w:t>.</w:t>
      </w:r>
      <w:r>
        <w:rPr>
          <w:sz w:val="22"/>
          <w:szCs w:val="22"/>
        </w:rPr>
        <w:t xml:space="preserve"> Répartition de</w:t>
      </w:r>
      <w:r w:rsidR="00680103">
        <w:rPr>
          <w:sz w:val="22"/>
          <w:szCs w:val="22"/>
        </w:rPr>
        <w:t>s</w:t>
      </w:r>
      <w:r>
        <w:rPr>
          <w:sz w:val="22"/>
          <w:szCs w:val="22"/>
        </w:rPr>
        <w:t xml:space="preserve"> </w:t>
      </w:r>
      <w:r w:rsidRPr="000D747A">
        <w:rPr>
          <w:sz w:val="22"/>
          <w:szCs w:val="22"/>
        </w:rPr>
        <w:t>contrat</w:t>
      </w:r>
      <w:r>
        <w:rPr>
          <w:sz w:val="22"/>
          <w:szCs w:val="22"/>
        </w:rPr>
        <w:t>s</w:t>
      </w:r>
      <w:r w:rsidRPr="000D747A">
        <w:rPr>
          <w:sz w:val="22"/>
          <w:szCs w:val="22"/>
        </w:rPr>
        <w:t xml:space="preserve"> de travailleur</w:t>
      </w:r>
      <w:r w:rsidR="00680103">
        <w:rPr>
          <w:sz w:val="22"/>
          <w:szCs w:val="22"/>
        </w:rPr>
        <w:t>s</w:t>
      </w:r>
      <w:r w:rsidRPr="000D747A">
        <w:rPr>
          <w:sz w:val="22"/>
          <w:szCs w:val="22"/>
        </w:rPr>
        <w:t xml:space="preserve"> étranger</w:t>
      </w:r>
      <w:r w:rsidR="00680103">
        <w:rPr>
          <w:sz w:val="22"/>
          <w:szCs w:val="22"/>
        </w:rPr>
        <w:t>s</w:t>
      </w:r>
      <w:r>
        <w:rPr>
          <w:sz w:val="22"/>
          <w:szCs w:val="22"/>
        </w:rPr>
        <w:t xml:space="preserve"> visés selon les Régions</w:t>
      </w:r>
    </w:p>
    <w:p w:rsidR="004F49DB" w:rsidRDefault="00260DAF"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2D948200" wp14:editId="354C1843">
            <wp:extent cx="4572000" cy="2743200"/>
            <wp:effectExtent l="0" t="0" r="0" b="0"/>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4F49DB" w:rsidRPr="004F49DB">
        <w:rPr>
          <w:rFonts w:ascii="Times New Roman" w:hAnsi="Times New Roman" w:cs="Times New Roman"/>
          <w:sz w:val="24"/>
          <w:szCs w:val="24"/>
        </w:rPr>
        <w:t xml:space="preserve"> </w:t>
      </w:r>
    </w:p>
    <w:p w:rsidR="00C8682E" w:rsidRPr="00C8682E" w:rsidRDefault="004F49DB" w:rsidP="004F49DB">
      <w:pPr>
        <w:pStyle w:val="Paragraphedeliste"/>
        <w:spacing w:after="120"/>
        <w:ind w:left="0"/>
        <w:contextualSpacing w:val="0"/>
        <w:rPr>
          <w:rFonts w:ascii="Times New Roman" w:hAnsi="Times New Roman" w:cs="Times New Roman"/>
          <w:sz w:val="24"/>
          <w:szCs w:val="24"/>
        </w:rPr>
      </w:pPr>
      <w:r>
        <w:t>Source : SSAG, SCAOR ; 2022</w:t>
      </w:r>
    </w:p>
    <w:p w:rsidR="00C8682E" w:rsidRPr="00C8682E" w:rsidRDefault="00C8682E" w:rsidP="00C8682E">
      <w:pPr>
        <w:pStyle w:val="Paragraphedeliste"/>
        <w:spacing w:after="120"/>
        <w:ind w:left="0"/>
        <w:contextualSpacing w:val="0"/>
        <w:rPr>
          <w:rFonts w:ascii="Times New Roman" w:hAnsi="Times New Roman" w:cs="Times New Roman"/>
          <w:sz w:val="24"/>
          <w:szCs w:val="24"/>
        </w:rPr>
      </w:pP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t>Conseil, orientation et encadrement des demandeurs d'emploi</w:t>
      </w:r>
      <w:r w:rsidR="00880491" w:rsidRPr="00041503">
        <w:rPr>
          <w:rFonts w:ascii="Times New Roman" w:hAnsi="Times New Roman" w:cs="Times New Roman"/>
          <w:b/>
          <w:i/>
          <w:color w:val="000000" w:themeColor="text1"/>
        </w:rPr>
        <w:t xml:space="preserve"> : 206 demandeurs d’emploi touchés, 48% dans la Région </w:t>
      </w:r>
      <w:proofErr w:type="spellStart"/>
      <w:r w:rsidR="00880491" w:rsidRPr="00041503">
        <w:rPr>
          <w:rFonts w:ascii="Times New Roman" w:hAnsi="Times New Roman" w:cs="Times New Roman"/>
          <w:b/>
          <w:i/>
          <w:color w:val="000000" w:themeColor="text1"/>
        </w:rPr>
        <w:t>Melaky</w:t>
      </w:r>
      <w:proofErr w:type="spellEnd"/>
      <w:r w:rsidR="00880491" w:rsidRPr="00041503">
        <w:rPr>
          <w:rFonts w:ascii="Times New Roman" w:hAnsi="Times New Roman" w:cs="Times New Roman"/>
          <w:b/>
          <w:i/>
          <w:color w:val="000000" w:themeColor="text1"/>
        </w:rPr>
        <w:t>, 42% Région SAVA</w:t>
      </w:r>
    </w:p>
    <w:p w:rsidR="000D747A" w:rsidRPr="00AC2410" w:rsidRDefault="000D747A" w:rsidP="000D747A">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28</w:t>
      </w:r>
      <w:r w:rsidRPr="00A55236">
        <w:rPr>
          <w:sz w:val="22"/>
          <w:szCs w:val="22"/>
        </w:rPr>
        <w:fldChar w:fldCharType="end"/>
      </w:r>
      <w:r w:rsidRPr="00A55236">
        <w:rPr>
          <w:sz w:val="22"/>
          <w:szCs w:val="22"/>
        </w:rPr>
        <w:t>.</w:t>
      </w:r>
      <w:r>
        <w:rPr>
          <w:sz w:val="22"/>
          <w:szCs w:val="22"/>
        </w:rPr>
        <w:t xml:space="preserve"> Répartition de</w:t>
      </w:r>
      <w:r w:rsidR="00680103">
        <w:rPr>
          <w:sz w:val="22"/>
          <w:szCs w:val="22"/>
        </w:rPr>
        <w:t>s</w:t>
      </w:r>
      <w:r>
        <w:rPr>
          <w:sz w:val="22"/>
          <w:szCs w:val="22"/>
        </w:rPr>
        <w:t xml:space="preserve"> demandeurs d’emploi appuyés selon les Régions</w:t>
      </w:r>
    </w:p>
    <w:p w:rsidR="004F49DB" w:rsidRDefault="00260DAF"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759860B6" wp14:editId="71C31C34">
            <wp:extent cx="4572000" cy="2743200"/>
            <wp:effectExtent l="0" t="0" r="0" b="0"/>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4F49DB" w:rsidRPr="004F49DB">
        <w:rPr>
          <w:rFonts w:ascii="Times New Roman" w:hAnsi="Times New Roman" w:cs="Times New Roman"/>
          <w:sz w:val="24"/>
          <w:szCs w:val="24"/>
        </w:rPr>
        <w:t xml:space="preserve"> </w:t>
      </w:r>
    </w:p>
    <w:p w:rsidR="00C8682E" w:rsidRPr="00C8682E" w:rsidRDefault="004F49DB" w:rsidP="004F49DB">
      <w:pPr>
        <w:pStyle w:val="Paragraphedeliste"/>
        <w:spacing w:after="120"/>
        <w:ind w:left="0"/>
        <w:contextualSpacing w:val="0"/>
        <w:rPr>
          <w:rFonts w:ascii="Times New Roman" w:hAnsi="Times New Roman" w:cs="Times New Roman"/>
          <w:sz w:val="24"/>
          <w:szCs w:val="24"/>
        </w:rPr>
      </w:pPr>
      <w:r>
        <w:t>Source : SSAG, SCAOR ; 2022</w:t>
      </w:r>
    </w:p>
    <w:p w:rsidR="00C8682E" w:rsidRPr="00C8682E" w:rsidRDefault="00C8682E" w:rsidP="00C8682E">
      <w:pPr>
        <w:pStyle w:val="Paragraphedeliste"/>
        <w:spacing w:after="120"/>
        <w:ind w:left="0"/>
        <w:contextualSpacing w:val="0"/>
        <w:rPr>
          <w:rFonts w:ascii="Times New Roman" w:hAnsi="Times New Roman" w:cs="Times New Roman"/>
          <w:sz w:val="24"/>
          <w:szCs w:val="24"/>
        </w:rPr>
      </w:pPr>
    </w:p>
    <w:p w:rsidR="00A12DEE" w:rsidRDefault="00A12DEE">
      <w:pPr>
        <w:rPr>
          <w:rFonts w:ascii="Times New Roman" w:eastAsiaTheme="majorEastAsia" w:hAnsi="Times New Roman" w:cs="Times New Roman"/>
          <w:b/>
          <w:i/>
          <w:color w:val="000000" w:themeColor="text1"/>
          <w:sz w:val="24"/>
          <w:szCs w:val="24"/>
        </w:rPr>
      </w:pPr>
      <w:r>
        <w:rPr>
          <w:rFonts w:ascii="Times New Roman" w:hAnsi="Times New Roman" w:cs="Times New Roman"/>
          <w:b/>
          <w:i/>
          <w:color w:val="000000" w:themeColor="text1"/>
        </w:rPr>
        <w:br w:type="page"/>
      </w:r>
    </w:p>
    <w:p w:rsidR="00DF5FC4" w:rsidRPr="00041503" w:rsidRDefault="00DF5FC4" w:rsidP="00041503">
      <w:pPr>
        <w:pStyle w:val="Titre3"/>
        <w:numPr>
          <w:ilvl w:val="2"/>
          <w:numId w:val="12"/>
        </w:numPr>
        <w:spacing w:before="0" w:after="120"/>
        <w:rPr>
          <w:rFonts w:ascii="Times New Roman" w:hAnsi="Times New Roman" w:cs="Times New Roman"/>
          <w:b/>
          <w:i/>
          <w:color w:val="000000" w:themeColor="text1"/>
        </w:rPr>
      </w:pPr>
      <w:r w:rsidRPr="00041503">
        <w:rPr>
          <w:rFonts w:ascii="Times New Roman" w:hAnsi="Times New Roman" w:cs="Times New Roman"/>
          <w:b/>
          <w:i/>
          <w:color w:val="000000" w:themeColor="text1"/>
        </w:rPr>
        <w:lastRenderedPageBreak/>
        <w:t>Formations de jeunes</w:t>
      </w:r>
      <w:r w:rsidR="00E0215A" w:rsidRPr="00041503">
        <w:rPr>
          <w:rFonts w:ascii="Times New Roman" w:hAnsi="Times New Roman" w:cs="Times New Roman"/>
          <w:b/>
          <w:i/>
          <w:color w:val="000000" w:themeColor="text1"/>
        </w:rPr>
        <w:t> : 302 jeunes formés, 41% de la Région Sofia</w:t>
      </w:r>
    </w:p>
    <w:p w:rsidR="000D747A" w:rsidRPr="00AC2410" w:rsidRDefault="000D747A" w:rsidP="000D747A">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29</w:t>
      </w:r>
      <w:r w:rsidRPr="00A55236">
        <w:rPr>
          <w:sz w:val="22"/>
          <w:szCs w:val="22"/>
        </w:rPr>
        <w:fldChar w:fldCharType="end"/>
      </w:r>
      <w:r w:rsidRPr="00A55236">
        <w:rPr>
          <w:sz w:val="22"/>
          <w:szCs w:val="22"/>
        </w:rPr>
        <w:t>.</w:t>
      </w:r>
      <w:r>
        <w:rPr>
          <w:sz w:val="22"/>
          <w:szCs w:val="22"/>
        </w:rPr>
        <w:t xml:space="preserve"> Répartition de</w:t>
      </w:r>
      <w:r w:rsidR="00680103">
        <w:rPr>
          <w:sz w:val="22"/>
          <w:szCs w:val="22"/>
        </w:rPr>
        <w:t>s</w:t>
      </w:r>
      <w:r>
        <w:rPr>
          <w:sz w:val="22"/>
          <w:szCs w:val="22"/>
        </w:rPr>
        <w:t xml:space="preserve"> jeunes formés selon les Régions</w:t>
      </w:r>
    </w:p>
    <w:p w:rsidR="004F49DB" w:rsidRDefault="00260DAF"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20559376" wp14:editId="0E06CE71">
            <wp:extent cx="4572000" cy="2743200"/>
            <wp:effectExtent l="0" t="0" r="0" b="0"/>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4F49DB" w:rsidRPr="004F49DB">
        <w:rPr>
          <w:rFonts w:ascii="Times New Roman" w:hAnsi="Times New Roman" w:cs="Times New Roman"/>
          <w:sz w:val="24"/>
          <w:szCs w:val="24"/>
        </w:rPr>
        <w:t xml:space="preserve"> </w:t>
      </w:r>
    </w:p>
    <w:p w:rsidR="00C8682E" w:rsidRPr="00C8682E" w:rsidRDefault="004F49DB" w:rsidP="004F49DB">
      <w:pPr>
        <w:pStyle w:val="Paragraphedeliste"/>
        <w:spacing w:after="120"/>
        <w:ind w:left="0"/>
        <w:contextualSpacing w:val="0"/>
        <w:rPr>
          <w:rFonts w:ascii="Times New Roman" w:hAnsi="Times New Roman" w:cs="Times New Roman"/>
          <w:sz w:val="24"/>
          <w:szCs w:val="24"/>
        </w:rPr>
      </w:pPr>
      <w:r>
        <w:t>Source : SSAG, SCAOR ; 2022</w:t>
      </w:r>
    </w:p>
    <w:p w:rsidR="00C8682E" w:rsidRPr="00C8682E" w:rsidRDefault="00C8682E" w:rsidP="00C8682E">
      <w:pPr>
        <w:pStyle w:val="Paragraphedeliste"/>
        <w:spacing w:after="120"/>
        <w:ind w:left="0"/>
        <w:contextualSpacing w:val="0"/>
        <w:rPr>
          <w:rFonts w:ascii="Times New Roman" w:hAnsi="Times New Roman" w:cs="Times New Roman"/>
          <w:sz w:val="24"/>
          <w:szCs w:val="24"/>
        </w:rPr>
      </w:pPr>
    </w:p>
    <w:p w:rsidR="00DF5FC4" w:rsidRPr="00EF6589" w:rsidRDefault="00DF5FC4" w:rsidP="00C44E99">
      <w:pPr>
        <w:pStyle w:val="Paragraphedeliste"/>
        <w:numPr>
          <w:ilvl w:val="1"/>
          <w:numId w:val="14"/>
        </w:numPr>
        <w:spacing w:after="120"/>
        <w:outlineLvl w:val="1"/>
        <w:rPr>
          <w:rFonts w:ascii="Times New Roman" w:hAnsi="Times New Roman" w:cs="Times New Roman"/>
          <w:b/>
          <w:sz w:val="24"/>
          <w:szCs w:val="24"/>
        </w:rPr>
      </w:pPr>
      <w:r w:rsidRPr="00EF6589">
        <w:rPr>
          <w:rFonts w:ascii="Times New Roman" w:hAnsi="Times New Roman" w:cs="Times New Roman"/>
          <w:b/>
          <w:sz w:val="24"/>
          <w:szCs w:val="24"/>
        </w:rPr>
        <w:t>Service FOP : Traitement des dossiers et formation des agents de l'Etat</w:t>
      </w:r>
    </w:p>
    <w:p w:rsidR="00DF5FC4" w:rsidRDefault="00DF5FC4" w:rsidP="00C44E99">
      <w:pPr>
        <w:pStyle w:val="Paragraphedeliste"/>
        <w:numPr>
          <w:ilvl w:val="2"/>
          <w:numId w:val="14"/>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Traitement d'Avancements</w:t>
      </w:r>
      <w:r w:rsidR="00AA412D">
        <w:rPr>
          <w:rFonts w:ascii="Times New Roman" w:hAnsi="Times New Roman" w:cs="Times New Roman"/>
          <w:b/>
          <w:i/>
          <w:sz w:val="24"/>
          <w:szCs w:val="24"/>
        </w:rPr>
        <w:t> :</w:t>
      </w:r>
      <w:r w:rsidR="00FE001C">
        <w:rPr>
          <w:rFonts w:ascii="Times New Roman" w:hAnsi="Times New Roman" w:cs="Times New Roman"/>
          <w:b/>
          <w:i/>
          <w:sz w:val="24"/>
          <w:szCs w:val="24"/>
        </w:rPr>
        <w:t xml:space="preserve"> 23</w:t>
      </w:r>
      <w:r w:rsidR="00AA412D">
        <w:rPr>
          <w:rFonts w:ascii="Times New Roman" w:hAnsi="Times New Roman" w:cs="Times New Roman"/>
          <w:b/>
          <w:i/>
          <w:sz w:val="24"/>
          <w:szCs w:val="24"/>
        </w:rPr>
        <w:t xml:space="preserve">839 dossiers traités, 71% dans la Région </w:t>
      </w:r>
      <w:proofErr w:type="spellStart"/>
      <w:r w:rsidR="00AA412D">
        <w:rPr>
          <w:rFonts w:ascii="Times New Roman" w:hAnsi="Times New Roman" w:cs="Times New Roman"/>
          <w:b/>
          <w:i/>
          <w:sz w:val="24"/>
          <w:szCs w:val="24"/>
        </w:rPr>
        <w:t>Analamanga</w:t>
      </w:r>
      <w:proofErr w:type="spellEnd"/>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30</w:t>
      </w:r>
      <w:r w:rsidRPr="00A55236">
        <w:rPr>
          <w:sz w:val="22"/>
          <w:szCs w:val="22"/>
        </w:rPr>
        <w:fldChar w:fldCharType="end"/>
      </w:r>
      <w:r w:rsidRPr="00A55236">
        <w:rPr>
          <w:sz w:val="22"/>
          <w:szCs w:val="22"/>
        </w:rPr>
        <w:t>.</w:t>
      </w:r>
      <w:r>
        <w:rPr>
          <w:sz w:val="22"/>
          <w:szCs w:val="22"/>
        </w:rPr>
        <w:t xml:space="preserve"> </w:t>
      </w:r>
      <w:r w:rsidR="00C44E99">
        <w:rPr>
          <w:sz w:val="22"/>
          <w:szCs w:val="22"/>
        </w:rPr>
        <w:t>Répartition d</w:t>
      </w:r>
      <w:r w:rsidR="00680103">
        <w:rPr>
          <w:sz w:val="22"/>
          <w:szCs w:val="22"/>
        </w:rPr>
        <w:t xml:space="preserve">es </w:t>
      </w:r>
      <w:r w:rsidR="00C44E99">
        <w:rPr>
          <w:sz w:val="22"/>
          <w:szCs w:val="22"/>
        </w:rPr>
        <w:t>avancements d’agents publics traités selon les Régions</w:t>
      </w:r>
    </w:p>
    <w:p w:rsidR="004F49DB" w:rsidRDefault="00126740"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562534F9" wp14:editId="6C6E0C58">
            <wp:extent cx="4572000" cy="2743200"/>
            <wp:effectExtent l="0" t="0" r="0"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4F49DB" w:rsidRPr="004F49DB">
        <w:rPr>
          <w:rFonts w:ascii="Times New Roman" w:hAnsi="Times New Roman" w:cs="Times New Roman"/>
          <w:sz w:val="24"/>
          <w:szCs w:val="24"/>
        </w:rPr>
        <w:t xml:space="preserve"> </w:t>
      </w:r>
    </w:p>
    <w:p w:rsidR="00712C2C" w:rsidRPr="00712C2C" w:rsidRDefault="004F49DB" w:rsidP="004F49DB">
      <w:pPr>
        <w:pStyle w:val="Paragraphedeliste"/>
        <w:spacing w:after="120"/>
        <w:ind w:left="0"/>
        <w:contextualSpacing w:val="0"/>
        <w:rPr>
          <w:rFonts w:ascii="Times New Roman" w:hAnsi="Times New Roman" w:cs="Times New Roman"/>
          <w:sz w:val="24"/>
          <w:szCs w:val="24"/>
        </w:rPr>
      </w:pPr>
      <w:r>
        <w:t>Source : SSAG, SCAOR ; 2022</w:t>
      </w:r>
    </w:p>
    <w:p w:rsidR="00712C2C" w:rsidRPr="00712C2C" w:rsidRDefault="00712C2C" w:rsidP="00712C2C">
      <w:pPr>
        <w:pStyle w:val="Paragraphedeliste"/>
        <w:spacing w:after="120"/>
        <w:ind w:left="0"/>
        <w:contextualSpacing w:val="0"/>
        <w:rPr>
          <w:rFonts w:ascii="Times New Roman" w:hAnsi="Times New Roman" w:cs="Times New Roman"/>
          <w:sz w:val="24"/>
          <w:szCs w:val="24"/>
        </w:rPr>
      </w:pPr>
    </w:p>
    <w:p w:rsidR="00A12DEE" w:rsidRDefault="00A12DEE">
      <w:pPr>
        <w:rPr>
          <w:rFonts w:ascii="Times New Roman" w:hAnsi="Times New Roman" w:cs="Times New Roman"/>
          <w:b/>
          <w:i/>
          <w:sz w:val="24"/>
          <w:szCs w:val="24"/>
        </w:rPr>
      </w:pPr>
      <w:r>
        <w:rPr>
          <w:rFonts w:ascii="Times New Roman" w:hAnsi="Times New Roman" w:cs="Times New Roman"/>
          <w:b/>
          <w:i/>
          <w:sz w:val="24"/>
          <w:szCs w:val="24"/>
        </w:rPr>
        <w:br w:type="page"/>
      </w:r>
    </w:p>
    <w:p w:rsidR="00DF5FC4" w:rsidRDefault="00DF5FC4" w:rsidP="00C44E99">
      <w:pPr>
        <w:pStyle w:val="Paragraphedeliste"/>
        <w:numPr>
          <w:ilvl w:val="2"/>
          <w:numId w:val="14"/>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lastRenderedPageBreak/>
        <w:t>Traitement d'Indemnités compensatrices</w:t>
      </w:r>
      <w:r w:rsidR="00AA412D">
        <w:rPr>
          <w:rFonts w:ascii="Times New Roman" w:hAnsi="Times New Roman" w:cs="Times New Roman"/>
          <w:b/>
          <w:i/>
          <w:sz w:val="24"/>
          <w:szCs w:val="24"/>
        </w:rPr>
        <w:t> : 412 agents concernés, 74% de la Région Sofia</w:t>
      </w:r>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31</w:t>
      </w:r>
      <w:r w:rsidRPr="00A55236">
        <w:rPr>
          <w:sz w:val="22"/>
          <w:szCs w:val="22"/>
        </w:rPr>
        <w:fldChar w:fldCharType="end"/>
      </w:r>
      <w:r w:rsidRPr="00A55236">
        <w:rPr>
          <w:sz w:val="22"/>
          <w:szCs w:val="22"/>
        </w:rPr>
        <w:t>.</w:t>
      </w:r>
      <w:r>
        <w:rPr>
          <w:sz w:val="22"/>
          <w:szCs w:val="22"/>
        </w:rPr>
        <w:t xml:space="preserve"> </w:t>
      </w:r>
      <w:r w:rsidR="00680103">
        <w:rPr>
          <w:sz w:val="22"/>
          <w:szCs w:val="22"/>
        </w:rPr>
        <w:t xml:space="preserve">Répartition du traitement des </w:t>
      </w:r>
      <w:r w:rsidR="00C44E99">
        <w:rPr>
          <w:sz w:val="22"/>
          <w:szCs w:val="22"/>
        </w:rPr>
        <w:t>indemnités compensatrices selon les Régions</w:t>
      </w:r>
    </w:p>
    <w:p w:rsidR="004F49DB" w:rsidRDefault="00126740"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1CEA82CC" wp14:editId="6BA884C1">
            <wp:extent cx="4572000" cy="2743200"/>
            <wp:effectExtent l="0" t="0" r="0" b="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4F49DB" w:rsidRPr="004F49DB">
        <w:rPr>
          <w:rFonts w:ascii="Times New Roman" w:hAnsi="Times New Roman" w:cs="Times New Roman"/>
          <w:sz w:val="24"/>
          <w:szCs w:val="24"/>
        </w:rPr>
        <w:t xml:space="preserve"> </w:t>
      </w:r>
    </w:p>
    <w:p w:rsidR="00126740" w:rsidRPr="00126740" w:rsidRDefault="004F49DB" w:rsidP="004F49DB">
      <w:pPr>
        <w:spacing w:after="120"/>
        <w:rPr>
          <w:rFonts w:ascii="Times New Roman" w:hAnsi="Times New Roman" w:cs="Times New Roman"/>
          <w:sz w:val="24"/>
          <w:szCs w:val="24"/>
        </w:rPr>
      </w:pPr>
      <w:r>
        <w:t>Source : SSAG, SCAOR ; 2022</w:t>
      </w:r>
    </w:p>
    <w:p w:rsidR="00126740" w:rsidRPr="00126740" w:rsidRDefault="00126740" w:rsidP="00126740">
      <w:pPr>
        <w:spacing w:after="120"/>
        <w:rPr>
          <w:rFonts w:ascii="Times New Roman" w:hAnsi="Times New Roman" w:cs="Times New Roman"/>
          <w:sz w:val="24"/>
          <w:szCs w:val="24"/>
        </w:rPr>
      </w:pPr>
    </w:p>
    <w:p w:rsidR="00DF5FC4" w:rsidRDefault="00DF5FC4" w:rsidP="00C44E99">
      <w:pPr>
        <w:pStyle w:val="Paragraphedeliste"/>
        <w:numPr>
          <w:ilvl w:val="2"/>
          <w:numId w:val="14"/>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Visa de Renouve</w:t>
      </w:r>
      <w:r w:rsidR="00AA412D">
        <w:rPr>
          <w:rFonts w:ascii="Times New Roman" w:hAnsi="Times New Roman" w:cs="Times New Roman"/>
          <w:b/>
          <w:i/>
          <w:sz w:val="24"/>
          <w:szCs w:val="24"/>
        </w:rPr>
        <w:t>llements et avenants de contrat : 2368 agents concernés, 72% dans la Région Sofia</w:t>
      </w:r>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32</w:t>
      </w:r>
      <w:r w:rsidRPr="00A55236">
        <w:rPr>
          <w:sz w:val="22"/>
          <w:szCs w:val="22"/>
        </w:rPr>
        <w:fldChar w:fldCharType="end"/>
      </w:r>
      <w:r w:rsidRPr="00A55236">
        <w:rPr>
          <w:sz w:val="22"/>
          <w:szCs w:val="22"/>
        </w:rPr>
        <w:t>.</w:t>
      </w:r>
      <w:r>
        <w:rPr>
          <w:sz w:val="22"/>
          <w:szCs w:val="22"/>
        </w:rPr>
        <w:t xml:space="preserve"> </w:t>
      </w:r>
      <w:r w:rsidR="00C44E99">
        <w:rPr>
          <w:sz w:val="22"/>
          <w:szCs w:val="22"/>
        </w:rPr>
        <w:t>Répartition de</w:t>
      </w:r>
      <w:r w:rsidR="00680103">
        <w:rPr>
          <w:sz w:val="22"/>
          <w:szCs w:val="22"/>
        </w:rPr>
        <w:t>s</w:t>
      </w:r>
      <w:r w:rsidR="00C44E99">
        <w:rPr>
          <w:sz w:val="22"/>
          <w:szCs w:val="22"/>
        </w:rPr>
        <w:t xml:space="preserve"> renouvellements et avenants de contrat visés selon les Régions</w:t>
      </w:r>
    </w:p>
    <w:p w:rsidR="004F49DB" w:rsidRDefault="00610E22"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52657AA5" wp14:editId="1A1EFB96">
            <wp:extent cx="4572000" cy="2743200"/>
            <wp:effectExtent l="0" t="0" r="0" b="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4F49DB" w:rsidRPr="004F49DB">
        <w:rPr>
          <w:rFonts w:ascii="Times New Roman" w:hAnsi="Times New Roman" w:cs="Times New Roman"/>
          <w:sz w:val="24"/>
          <w:szCs w:val="24"/>
        </w:rPr>
        <w:t xml:space="preserve"> </w:t>
      </w:r>
    </w:p>
    <w:p w:rsidR="00126740" w:rsidRPr="00126740" w:rsidRDefault="004F49DB" w:rsidP="004F49DB">
      <w:pPr>
        <w:spacing w:after="120"/>
        <w:rPr>
          <w:rFonts w:ascii="Times New Roman" w:hAnsi="Times New Roman" w:cs="Times New Roman"/>
          <w:sz w:val="24"/>
          <w:szCs w:val="24"/>
        </w:rPr>
      </w:pPr>
      <w:r>
        <w:t>Source : SSAG, SCAOR ; 2022</w:t>
      </w:r>
    </w:p>
    <w:p w:rsidR="00126740" w:rsidRPr="00126740" w:rsidRDefault="00126740" w:rsidP="00126740">
      <w:pPr>
        <w:spacing w:after="120"/>
        <w:rPr>
          <w:rFonts w:ascii="Times New Roman" w:hAnsi="Times New Roman" w:cs="Times New Roman"/>
          <w:sz w:val="24"/>
          <w:szCs w:val="24"/>
        </w:rPr>
      </w:pPr>
    </w:p>
    <w:p w:rsidR="00A12DEE" w:rsidRDefault="00A12DEE">
      <w:pPr>
        <w:rPr>
          <w:rFonts w:ascii="Times New Roman" w:hAnsi="Times New Roman" w:cs="Times New Roman"/>
          <w:b/>
          <w:i/>
          <w:sz w:val="24"/>
          <w:szCs w:val="24"/>
        </w:rPr>
      </w:pPr>
      <w:r>
        <w:rPr>
          <w:rFonts w:ascii="Times New Roman" w:hAnsi="Times New Roman" w:cs="Times New Roman"/>
          <w:b/>
          <w:i/>
          <w:sz w:val="24"/>
          <w:szCs w:val="24"/>
        </w:rPr>
        <w:br w:type="page"/>
      </w:r>
    </w:p>
    <w:p w:rsidR="00DF5FC4" w:rsidRDefault="00DF5FC4" w:rsidP="00C44E99">
      <w:pPr>
        <w:pStyle w:val="Paragraphedeliste"/>
        <w:numPr>
          <w:ilvl w:val="2"/>
          <w:numId w:val="14"/>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lastRenderedPageBreak/>
        <w:t>Visa de Relevés des services effectués</w:t>
      </w:r>
      <w:r w:rsidR="00AA412D">
        <w:rPr>
          <w:rFonts w:ascii="Times New Roman" w:hAnsi="Times New Roman" w:cs="Times New Roman"/>
          <w:b/>
          <w:i/>
          <w:sz w:val="24"/>
          <w:szCs w:val="24"/>
        </w:rPr>
        <w:t xml:space="preserve"> : </w:t>
      </w:r>
      <w:r w:rsidR="00FE001C">
        <w:rPr>
          <w:rFonts w:ascii="Times New Roman" w:hAnsi="Times New Roman" w:cs="Times New Roman"/>
          <w:b/>
          <w:i/>
          <w:sz w:val="24"/>
          <w:szCs w:val="24"/>
        </w:rPr>
        <w:t xml:space="preserve">2646 relevés visés, principalement dans les Régions </w:t>
      </w:r>
      <w:proofErr w:type="spellStart"/>
      <w:r w:rsidR="00FE001C">
        <w:rPr>
          <w:rFonts w:ascii="Times New Roman" w:hAnsi="Times New Roman" w:cs="Times New Roman"/>
          <w:b/>
          <w:i/>
          <w:sz w:val="24"/>
          <w:szCs w:val="24"/>
        </w:rPr>
        <w:t>Vakinankaratra</w:t>
      </w:r>
      <w:proofErr w:type="spellEnd"/>
      <w:r w:rsidR="00FE001C">
        <w:rPr>
          <w:rFonts w:ascii="Times New Roman" w:hAnsi="Times New Roman" w:cs="Times New Roman"/>
          <w:b/>
          <w:i/>
          <w:sz w:val="24"/>
          <w:szCs w:val="24"/>
        </w:rPr>
        <w:t xml:space="preserve"> (25%), SAVA (24%) et Sofia (23%)</w:t>
      </w:r>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33</w:t>
      </w:r>
      <w:r w:rsidRPr="00A55236">
        <w:rPr>
          <w:sz w:val="22"/>
          <w:szCs w:val="22"/>
        </w:rPr>
        <w:fldChar w:fldCharType="end"/>
      </w:r>
      <w:r w:rsidRPr="00A55236">
        <w:rPr>
          <w:sz w:val="22"/>
          <w:szCs w:val="22"/>
        </w:rPr>
        <w:t>.</w:t>
      </w:r>
      <w:r>
        <w:rPr>
          <w:sz w:val="22"/>
          <w:szCs w:val="22"/>
        </w:rPr>
        <w:t xml:space="preserve"> </w:t>
      </w:r>
      <w:r w:rsidR="00C44E99">
        <w:rPr>
          <w:sz w:val="22"/>
          <w:szCs w:val="22"/>
        </w:rPr>
        <w:t>Répartition de</w:t>
      </w:r>
      <w:r w:rsidR="00680103">
        <w:rPr>
          <w:sz w:val="22"/>
          <w:szCs w:val="22"/>
        </w:rPr>
        <w:t>s</w:t>
      </w:r>
      <w:r w:rsidR="00C44E99">
        <w:rPr>
          <w:sz w:val="22"/>
          <w:szCs w:val="22"/>
        </w:rPr>
        <w:t xml:space="preserve"> relevés de services visés selon les Régions</w:t>
      </w:r>
    </w:p>
    <w:p w:rsidR="004F49DB" w:rsidRDefault="00610E22"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31E61811" wp14:editId="63361EC3">
            <wp:extent cx="4572000" cy="2743200"/>
            <wp:effectExtent l="0" t="0" r="0" b="0"/>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4F49DB" w:rsidRPr="004F49DB">
        <w:rPr>
          <w:rFonts w:ascii="Times New Roman" w:hAnsi="Times New Roman" w:cs="Times New Roman"/>
          <w:sz w:val="24"/>
          <w:szCs w:val="24"/>
        </w:rPr>
        <w:t xml:space="preserve"> </w:t>
      </w:r>
    </w:p>
    <w:p w:rsidR="00126740" w:rsidRPr="00126740" w:rsidRDefault="004F49DB" w:rsidP="004F49DB">
      <w:pPr>
        <w:spacing w:after="120"/>
        <w:rPr>
          <w:rFonts w:ascii="Times New Roman" w:hAnsi="Times New Roman" w:cs="Times New Roman"/>
          <w:sz w:val="24"/>
          <w:szCs w:val="24"/>
        </w:rPr>
      </w:pPr>
      <w:r>
        <w:t>Source : SSAG, SCAOR ; 2022</w:t>
      </w:r>
    </w:p>
    <w:p w:rsidR="00126740" w:rsidRPr="00126740" w:rsidRDefault="00126740" w:rsidP="00126740">
      <w:pPr>
        <w:spacing w:after="120"/>
        <w:rPr>
          <w:rFonts w:ascii="Times New Roman" w:hAnsi="Times New Roman" w:cs="Times New Roman"/>
          <w:sz w:val="24"/>
          <w:szCs w:val="24"/>
        </w:rPr>
      </w:pPr>
    </w:p>
    <w:p w:rsidR="00DF5FC4" w:rsidRDefault="00DF5FC4" w:rsidP="00C44E99">
      <w:pPr>
        <w:pStyle w:val="Paragraphedeliste"/>
        <w:numPr>
          <w:ilvl w:val="2"/>
          <w:numId w:val="14"/>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Traitement de Congés</w:t>
      </w:r>
      <w:r w:rsidR="00FE001C">
        <w:rPr>
          <w:rFonts w:ascii="Times New Roman" w:hAnsi="Times New Roman" w:cs="Times New Roman"/>
          <w:b/>
          <w:i/>
          <w:sz w:val="24"/>
          <w:szCs w:val="24"/>
        </w:rPr>
        <w:t xml:space="preserve"> : </w:t>
      </w:r>
      <w:r w:rsidR="00FE001C" w:rsidRPr="00FE001C">
        <w:rPr>
          <w:rFonts w:ascii="Times New Roman" w:hAnsi="Times New Roman" w:cs="Times New Roman"/>
          <w:b/>
          <w:i/>
          <w:sz w:val="24"/>
          <w:szCs w:val="24"/>
        </w:rPr>
        <w:t>2673</w:t>
      </w:r>
      <w:r w:rsidR="00FE001C">
        <w:rPr>
          <w:rFonts w:ascii="Times New Roman" w:hAnsi="Times New Roman" w:cs="Times New Roman"/>
          <w:b/>
          <w:i/>
          <w:sz w:val="24"/>
          <w:szCs w:val="24"/>
        </w:rPr>
        <w:t xml:space="preserve"> congés traités, essentiellement des Régions </w:t>
      </w:r>
      <w:proofErr w:type="spellStart"/>
      <w:r w:rsidR="00FE001C">
        <w:rPr>
          <w:rFonts w:ascii="Times New Roman" w:hAnsi="Times New Roman" w:cs="Times New Roman"/>
          <w:b/>
          <w:i/>
          <w:sz w:val="24"/>
          <w:szCs w:val="24"/>
        </w:rPr>
        <w:t>Vakinankaratra</w:t>
      </w:r>
      <w:proofErr w:type="spellEnd"/>
      <w:r w:rsidR="00FE001C">
        <w:rPr>
          <w:rFonts w:ascii="Times New Roman" w:hAnsi="Times New Roman" w:cs="Times New Roman"/>
          <w:b/>
          <w:i/>
          <w:sz w:val="24"/>
          <w:szCs w:val="24"/>
        </w:rPr>
        <w:t xml:space="preserve"> (36%), Betsiboka (28%) et Sofia (24%)</w:t>
      </w:r>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34</w:t>
      </w:r>
      <w:r w:rsidRPr="00A55236">
        <w:rPr>
          <w:sz w:val="22"/>
          <w:szCs w:val="22"/>
        </w:rPr>
        <w:fldChar w:fldCharType="end"/>
      </w:r>
      <w:r w:rsidRPr="00A55236">
        <w:rPr>
          <w:sz w:val="22"/>
          <w:szCs w:val="22"/>
        </w:rPr>
        <w:t>.</w:t>
      </w:r>
      <w:r>
        <w:rPr>
          <w:sz w:val="22"/>
          <w:szCs w:val="22"/>
        </w:rPr>
        <w:t xml:space="preserve"> </w:t>
      </w:r>
      <w:r w:rsidR="00C44E99">
        <w:rPr>
          <w:sz w:val="22"/>
          <w:szCs w:val="22"/>
        </w:rPr>
        <w:t>Répartition de traitement de congés selon les Régions</w:t>
      </w:r>
    </w:p>
    <w:p w:rsidR="004F49DB" w:rsidRDefault="00B962FA"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69EBDF32" wp14:editId="18DE60DA">
            <wp:extent cx="4572000" cy="2743200"/>
            <wp:effectExtent l="0" t="0" r="0" b="0"/>
            <wp:docPr id="37"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4F49DB" w:rsidRPr="004F49DB">
        <w:rPr>
          <w:rFonts w:ascii="Times New Roman" w:hAnsi="Times New Roman" w:cs="Times New Roman"/>
          <w:sz w:val="24"/>
          <w:szCs w:val="24"/>
        </w:rPr>
        <w:t xml:space="preserve"> </w:t>
      </w:r>
    </w:p>
    <w:p w:rsidR="00126740" w:rsidRPr="00126740" w:rsidRDefault="004F49DB" w:rsidP="004F49DB">
      <w:pPr>
        <w:spacing w:after="120"/>
        <w:rPr>
          <w:rFonts w:ascii="Times New Roman" w:hAnsi="Times New Roman" w:cs="Times New Roman"/>
          <w:sz w:val="24"/>
          <w:szCs w:val="24"/>
        </w:rPr>
      </w:pPr>
      <w:r>
        <w:t>Source : SSAG, SCAOR ; 2022</w:t>
      </w:r>
    </w:p>
    <w:p w:rsidR="00126740" w:rsidRPr="00126740" w:rsidRDefault="00126740" w:rsidP="00126740">
      <w:pPr>
        <w:spacing w:after="120"/>
        <w:rPr>
          <w:rFonts w:ascii="Times New Roman" w:hAnsi="Times New Roman" w:cs="Times New Roman"/>
          <w:sz w:val="24"/>
          <w:szCs w:val="24"/>
        </w:rPr>
      </w:pPr>
    </w:p>
    <w:p w:rsidR="00A12DEE" w:rsidRDefault="00A12DEE">
      <w:pPr>
        <w:rPr>
          <w:rFonts w:ascii="Times New Roman" w:hAnsi="Times New Roman" w:cs="Times New Roman"/>
          <w:b/>
          <w:i/>
          <w:sz w:val="24"/>
          <w:szCs w:val="24"/>
        </w:rPr>
      </w:pPr>
      <w:r>
        <w:rPr>
          <w:rFonts w:ascii="Times New Roman" w:hAnsi="Times New Roman" w:cs="Times New Roman"/>
          <w:b/>
          <w:i/>
          <w:sz w:val="24"/>
          <w:szCs w:val="24"/>
        </w:rPr>
        <w:br w:type="page"/>
      </w:r>
    </w:p>
    <w:p w:rsidR="00DF5FC4" w:rsidRDefault="00680103" w:rsidP="00C44E99">
      <w:pPr>
        <w:pStyle w:val="Paragraphedeliste"/>
        <w:numPr>
          <w:ilvl w:val="2"/>
          <w:numId w:val="14"/>
        </w:numPr>
        <w:spacing w:after="120"/>
        <w:contextualSpacing w:val="0"/>
        <w:outlineLvl w:val="2"/>
        <w:rPr>
          <w:rFonts w:ascii="Times New Roman" w:hAnsi="Times New Roman" w:cs="Times New Roman"/>
          <w:b/>
          <w:i/>
          <w:sz w:val="24"/>
          <w:szCs w:val="24"/>
        </w:rPr>
      </w:pPr>
      <w:r>
        <w:rPr>
          <w:rFonts w:ascii="Times New Roman" w:hAnsi="Times New Roman" w:cs="Times New Roman"/>
          <w:b/>
          <w:i/>
          <w:sz w:val="24"/>
          <w:szCs w:val="24"/>
        </w:rPr>
        <w:lastRenderedPageBreak/>
        <w:t>Ratification de PV de</w:t>
      </w:r>
      <w:r w:rsidR="00DF5FC4" w:rsidRPr="00EF6589">
        <w:rPr>
          <w:rFonts w:ascii="Times New Roman" w:hAnsi="Times New Roman" w:cs="Times New Roman"/>
          <w:b/>
          <w:i/>
          <w:sz w:val="24"/>
          <w:szCs w:val="24"/>
        </w:rPr>
        <w:t xml:space="preserve"> </w:t>
      </w:r>
      <w:r w:rsidRPr="00EF6589">
        <w:rPr>
          <w:rFonts w:ascii="Times New Roman" w:hAnsi="Times New Roman" w:cs="Times New Roman"/>
          <w:b/>
          <w:i/>
          <w:sz w:val="24"/>
          <w:szCs w:val="24"/>
        </w:rPr>
        <w:t>Commission</w:t>
      </w:r>
      <w:r>
        <w:rPr>
          <w:rFonts w:ascii="Times New Roman" w:hAnsi="Times New Roman" w:cs="Times New Roman"/>
          <w:b/>
          <w:i/>
          <w:sz w:val="24"/>
          <w:szCs w:val="24"/>
        </w:rPr>
        <w:t>s</w:t>
      </w:r>
      <w:r w:rsidRPr="00EF6589">
        <w:rPr>
          <w:rFonts w:ascii="Times New Roman" w:hAnsi="Times New Roman" w:cs="Times New Roman"/>
          <w:b/>
          <w:i/>
          <w:sz w:val="24"/>
          <w:szCs w:val="24"/>
        </w:rPr>
        <w:t xml:space="preserve"> Administrative</w:t>
      </w:r>
      <w:r>
        <w:rPr>
          <w:rFonts w:ascii="Times New Roman" w:hAnsi="Times New Roman" w:cs="Times New Roman"/>
          <w:b/>
          <w:i/>
          <w:sz w:val="24"/>
          <w:szCs w:val="24"/>
        </w:rPr>
        <w:t>s</w:t>
      </w:r>
      <w:r w:rsidRPr="00EF6589">
        <w:rPr>
          <w:rFonts w:ascii="Times New Roman" w:hAnsi="Times New Roman" w:cs="Times New Roman"/>
          <w:b/>
          <w:i/>
          <w:sz w:val="24"/>
          <w:szCs w:val="24"/>
        </w:rPr>
        <w:t xml:space="preserve"> Paritaire</w:t>
      </w:r>
      <w:r>
        <w:rPr>
          <w:rFonts w:ascii="Times New Roman" w:hAnsi="Times New Roman" w:cs="Times New Roman"/>
          <w:b/>
          <w:i/>
          <w:sz w:val="24"/>
          <w:szCs w:val="24"/>
        </w:rPr>
        <w:t>s </w:t>
      </w:r>
      <w:r w:rsidR="00FE001C">
        <w:rPr>
          <w:rFonts w:ascii="Times New Roman" w:hAnsi="Times New Roman" w:cs="Times New Roman"/>
          <w:b/>
          <w:i/>
          <w:sz w:val="24"/>
          <w:szCs w:val="24"/>
        </w:rPr>
        <w:t xml:space="preserve">: </w:t>
      </w:r>
      <w:r w:rsidR="00FE001C" w:rsidRPr="00FE001C">
        <w:rPr>
          <w:rFonts w:ascii="Times New Roman" w:hAnsi="Times New Roman" w:cs="Times New Roman"/>
          <w:b/>
          <w:i/>
          <w:sz w:val="24"/>
          <w:szCs w:val="24"/>
        </w:rPr>
        <w:t>2263</w:t>
      </w:r>
      <w:r w:rsidR="00FE001C">
        <w:rPr>
          <w:rFonts w:ascii="Times New Roman" w:hAnsi="Times New Roman" w:cs="Times New Roman"/>
          <w:b/>
          <w:i/>
          <w:sz w:val="24"/>
          <w:szCs w:val="24"/>
        </w:rPr>
        <w:t xml:space="preserve"> PV ratifiés, principalement dans les Régions SAVA (35%), Sofia (32%) et Betsiboka (27%)</w:t>
      </w:r>
    </w:p>
    <w:p w:rsidR="007F538B" w:rsidRPr="007F538B" w:rsidRDefault="007F538B" w:rsidP="00680103">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35</w:t>
      </w:r>
      <w:r w:rsidRPr="00A55236">
        <w:rPr>
          <w:sz w:val="22"/>
          <w:szCs w:val="22"/>
        </w:rPr>
        <w:fldChar w:fldCharType="end"/>
      </w:r>
      <w:r w:rsidRPr="00A55236">
        <w:rPr>
          <w:sz w:val="22"/>
          <w:szCs w:val="22"/>
        </w:rPr>
        <w:t>.</w:t>
      </w:r>
      <w:r>
        <w:rPr>
          <w:sz w:val="22"/>
          <w:szCs w:val="22"/>
        </w:rPr>
        <w:t xml:space="preserve"> </w:t>
      </w:r>
      <w:r w:rsidR="00C44E99">
        <w:rPr>
          <w:sz w:val="22"/>
          <w:szCs w:val="22"/>
        </w:rPr>
        <w:t>Répartition de</w:t>
      </w:r>
      <w:r w:rsidR="00680103">
        <w:rPr>
          <w:sz w:val="22"/>
          <w:szCs w:val="22"/>
        </w:rPr>
        <w:t>s</w:t>
      </w:r>
      <w:r w:rsidR="00C44E99">
        <w:rPr>
          <w:sz w:val="22"/>
          <w:szCs w:val="22"/>
        </w:rPr>
        <w:t xml:space="preserve"> PV de </w:t>
      </w:r>
      <w:r w:rsidR="00680103" w:rsidRPr="00680103">
        <w:rPr>
          <w:sz w:val="22"/>
          <w:szCs w:val="22"/>
        </w:rPr>
        <w:t>Commissions Administratives Paritaires</w:t>
      </w:r>
      <w:r w:rsidR="00C44E99">
        <w:rPr>
          <w:sz w:val="22"/>
          <w:szCs w:val="22"/>
        </w:rPr>
        <w:t xml:space="preserve"> ratifiés selon les Régions</w:t>
      </w:r>
    </w:p>
    <w:p w:rsidR="004F49DB" w:rsidRDefault="00B962FA"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287CA93F" wp14:editId="5175AFBA">
            <wp:extent cx="4572000" cy="2743200"/>
            <wp:effectExtent l="0" t="0" r="0" b="0"/>
            <wp:docPr id="39"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4F49DB" w:rsidRPr="004F49DB">
        <w:rPr>
          <w:rFonts w:ascii="Times New Roman" w:hAnsi="Times New Roman" w:cs="Times New Roman"/>
          <w:sz w:val="24"/>
          <w:szCs w:val="24"/>
        </w:rPr>
        <w:t xml:space="preserve"> </w:t>
      </w:r>
    </w:p>
    <w:p w:rsidR="00126740" w:rsidRPr="00126740" w:rsidRDefault="004F49DB" w:rsidP="004F49DB">
      <w:pPr>
        <w:spacing w:after="120"/>
        <w:rPr>
          <w:rFonts w:ascii="Times New Roman" w:hAnsi="Times New Roman" w:cs="Times New Roman"/>
          <w:sz w:val="24"/>
          <w:szCs w:val="24"/>
        </w:rPr>
      </w:pPr>
      <w:r>
        <w:t>Source : SSAG, SCAOR ; 2022</w:t>
      </w:r>
    </w:p>
    <w:p w:rsidR="00126740" w:rsidRPr="00126740" w:rsidRDefault="00126740" w:rsidP="00126740">
      <w:pPr>
        <w:spacing w:after="120"/>
        <w:rPr>
          <w:rFonts w:ascii="Times New Roman" w:hAnsi="Times New Roman" w:cs="Times New Roman"/>
          <w:sz w:val="24"/>
          <w:szCs w:val="24"/>
        </w:rPr>
      </w:pPr>
    </w:p>
    <w:p w:rsidR="00DF5FC4" w:rsidRDefault="00DF5FC4" w:rsidP="00C44E99">
      <w:pPr>
        <w:pStyle w:val="Paragraphedeliste"/>
        <w:numPr>
          <w:ilvl w:val="2"/>
          <w:numId w:val="14"/>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Autorisation de sortie</w:t>
      </w:r>
      <w:r w:rsidR="00FE001C">
        <w:rPr>
          <w:rFonts w:ascii="Times New Roman" w:hAnsi="Times New Roman" w:cs="Times New Roman"/>
          <w:b/>
          <w:i/>
          <w:sz w:val="24"/>
          <w:szCs w:val="24"/>
        </w:rPr>
        <w:t> : 48 agents autorisés, majoritairement des Régions Sava (56%) et Diana (31%)</w:t>
      </w:r>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36</w:t>
      </w:r>
      <w:r w:rsidRPr="00A55236">
        <w:rPr>
          <w:sz w:val="22"/>
          <w:szCs w:val="22"/>
        </w:rPr>
        <w:fldChar w:fldCharType="end"/>
      </w:r>
      <w:r w:rsidRPr="00A55236">
        <w:rPr>
          <w:sz w:val="22"/>
          <w:szCs w:val="22"/>
        </w:rPr>
        <w:t>.</w:t>
      </w:r>
      <w:r>
        <w:rPr>
          <w:sz w:val="22"/>
          <w:szCs w:val="22"/>
        </w:rPr>
        <w:t xml:space="preserve"> </w:t>
      </w:r>
      <w:r w:rsidR="00680103">
        <w:rPr>
          <w:sz w:val="22"/>
          <w:szCs w:val="22"/>
        </w:rPr>
        <w:t xml:space="preserve">Répartition des </w:t>
      </w:r>
      <w:r w:rsidR="00C44E99">
        <w:rPr>
          <w:sz w:val="22"/>
          <w:szCs w:val="22"/>
        </w:rPr>
        <w:t>autorisations de sortie traitées selon les Régions</w:t>
      </w:r>
    </w:p>
    <w:p w:rsidR="004F49DB" w:rsidRDefault="00B962FA" w:rsidP="00447524">
      <w:pPr>
        <w:pStyle w:val="Paragraphedeliste"/>
        <w:spacing w:after="0"/>
        <w:ind w:left="0"/>
        <w:contextualSpacing w:val="0"/>
        <w:jc w:val="center"/>
        <w:rPr>
          <w:rFonts w:ascii="Times New Roman" w:hAnsi="Times New Roman" w:cs="Times New Roman"/>
          <w:sz w:val="24"/>
          <w:szCs w:val="24"/>
        </w:rPr>
      </w:pPr>
      <w:r w:rsidRPr="00B962FA">
        <w:rPr>
          <w:noProof/>
          <w:lang w:eastAsia="fr-FR"/>
        </w:rPr>
        <w:drawing>
          <wp:inline distT="0" distB="0" distL="0" distR="0" wp14:anchorId="1E0A69DE" wp14:editId="108C2F09">
            <wp:extent cx="4572000" cy="2743200"/>
            <wp:effectExtent l="0" t="0" r="0" b="0"/>
            <wp:docPr id="40"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4F49DB" w:rsidRPr="004F49DB">
        <w:rPr>
          <w:rFonts w:ascii="Times New Roman" w:hAnsi="Times New Roman" w:cs="Times New Roman"/>
          <w:sz w:val="24"/>
          <w:szCs w:val="24"/>
        </w:rPr>
        <w:t xml:space="preserve"> </w:t>
      </w:r>
    </w:p>
    <w:p w:rsidR="00126740" w:rsidRPr="00B962FA" w:rsidRDefault="004F49DB" w:rsidP="004F49DB">
      <w:pPr>
        <w:spacing w:after="120"/>
        <w:rPr>
          <w:rFonts w:ascii="Times New Roman" w:hAnsi="Times New Roman" w:cs="Times New Roman"/>
          <w:sz w:val="24"/>
          <w:szCs w:val="24"/>
        </w:rPr>
      </w:pPr>
      <w:r>
        <w:t>Source : SSAG, SCAOR ; 2022</w:t>
      </w:r>
    </w:p>
    <w:p w:rsidR="00126740" w:rsidRPr="00B962FA" w:rsidRDefault="00126740" w:rsidP="00126740">
      <w:pPr>
        <w:spacing w:after="120"/>
        <w:rPr>
          <w:rFonts w:ascii="Times New Roman" w:hAnsi="Times New Roman" w:cs="Times New Roman"/>
          <w:sz w:val="24"/>
          <w:szCs w:val="24"/>
        </w:rPr>
      </w:pPr>
    </w:p>
    <w:p w:rsidR="00A12DEE" w:rsidRDefault="00A12DEE">
      <w:pPr>
        <w:rPr>
          <w:rFonts w:ascii="Times New Roman" w:hAnsi="Times New Roman" w:cs="Times New Roman"/>
          <w:b/>
          <w:i/>
          <w:sz w:val="24"/>
          <w:szCs w:val="24"/>
        </w:rPr>
      </w:pPr>
      <w:r>
        <w:rPr>
          <w:rFonts w:ascii="Times New Roman" w:hAnsi="Times New Roman" w:cs="Times New Roman"/>
          <w:b/>
          <w:i/>
          <w:sz w:val="24"/>
          <w:szCs w:val="24"/>
        </w:rPr>
        <w:br w:type="page"/>
      </w:r>
    </w:p>
    <w:p w:rsidR="00DF5FC4" w:rsidRDefault="00DF5FC4" w:rsidP="00C44E99">
      <w:pPr>
        <w:pStyle w:val="Paragraphedeliste"/>
        <w:numPr>
          <w:ilvl w:val="2"/>
          <w:numId w:val="14"/>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lastRenderedPageBreak/>
        <w:t xml:space="preserve">Activation du guichet unique de </w:t>
      </w:r>
      <w:r w:rsidR="00680103">
        <w:rPr>
          <w:rFonts w:ascii="Times New Roman" w:hAnsi="Times New Roman" w:cs="Times New Roman"/>
          <w:b/>
          <w:i/>
          <w:sz w:val="24"/>
          <w:szCs w:val="24"/>
        </w:rPr>
        <w:t>traitement de</w:t>
      </w:r>
      <w:r w:rsidRPr="00EF6589">
        <w:rPr>
          <w:rFonts w:ascii="Times New Roman" w:hAnsi="Times New Roman" w:cs="Times New Roman"/>
          <w:b/>
          <w:i/>
          <w:sz w:val="24"/>
          <w:szCs w:val="24"/>
        </w:rPr>
        <w:t xml:space="preserve"> dossiers des Agents de l'Etat</w:t>
      </w:r>
      <w:r w:rsidR="00FE001C">
        <w:rPr>
          <w:rFonts w:ascii="Times New Roman" w:hAnsi="Times New Roman" w:cs="Times New Roman"/>
          <w:b/>
          <w:i/>
          <w:sz w:val="24"/>
          <w:szCs w:val="24"/>
        </w:rPr>
        <w:t xml:space="preserve"> : </w:t>
      </w:r>
      <w:r w:rsidR="0072740D" w:rsidRPr="0072740D">
        <w:rPr>
          <w:rFonts w:ascii="Times New Roman" w:hAnsi="Times New Roman" w:cs="Times New Roman"/>
          <w:b/>
          <w:i/>
          <w:sz w:val="24"/>
          <w:szCs w:val="24"/>
        </w:rPr>
        <w:t>13743</w:t>
      </w:r>
      <w:r w:rsidR="0072740D">
        <w:rPr>
          <w:rFonts w:ascii="Times New Roman" w:hAnsi="Times New Roman" w:cs="Times New Roman"/>
          <w:b/>
          <w:i/>
          <w:sz w:val="24"/>
          <w:szCs w:val="24"/>
        </w:rPr>
        <w:t xml:space="preserve"> dossiers traités, presque de la Région </w:t>
      </w:r>
      <w:proofErr w:type="spellStart"/>
      <w:r w:rsidR="0072740D">
        <w:rPr>
          <w:rFonts w:ascii="Times New Roman" w:hAnsi="Times New Roman" w:cs="Times New Roman"/>
          <w:b/>
          <w:i/>
          <w:sz w:val="24"/>
          <w:szCs w:val="24"/>
        </w:rPr>
        <w:t>Analamanga</w:t>
      </w:r>
      <w:proofErr w:type="spellEnd"/>
      <w:r w:rsidR="0072740D">
        <w:rPr>
          <w:rFonts w:ascii="Times New Roman" w:hAnsi="Times New Roman" w:cs="Times New Roman"/>
          <w:b/>
          <w:i/>
          <w:sz w:val="24"/>
          <w:szCs w:val="24"/>
        </w:rPr>
        <w:t xml:space="preserve"> (99,94%)</w:t>
      </w:r>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37</w:t>
      </w:r>
      <w:r w:rsidRPr="00A55236">
        <w:rPr>
          <w:sz w:val="22"/>
          <w:szCs w:val="22"/>
        </w:rPr>
        <w:fldChar w:fldCharType="end"/>
      </w:r>
      <w:r w:rsidRPr="00A55236">
        <w:rPr>
          <w:sz w:val="22"/>
          <w:szCs w:val="22"/>
        </w:rPr>
        <w:t>.</w:t>
      </w:r>
      <w:r>
        <w:rPr>
          <w:sz w:val="22"/>
          <w:szCs w:val="22"/>
        </w:rPr>
        <w:t xml:space="preserve"> </w:t>
      </w:r>
      <w:r w:rsidR="00C44E99">
        <w:rPr>
          <w:sz w:val="22"/>
          <w:szCs w:val="22"/>
        </w:rPr>
        <w:t>Répartition des dossiers traités par les guichets uniques selon les Régions</w:t>
      </w:r>
    </w:p>
    <w:p w:rsidR="004F49DB" w:rsidRDefault="006303F4"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266772ED" wp14:editId="69B0B56D">
            <wp:extent cx="4572000" cy="2743200"/>
            <wp:effectExtent l="0" t="0" r="0" b="0"/>
            <wp:docPr id="41" name="Graphique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4F49DB" w:rsidRPr="004F49DB">
        <w:rPr>
          <w:rFonts w:ascii="Times New Roman" w:hAnsi="Times New Roman" w:cs="Times New Roman"/>
          <w:sz w:val="24"/>
          <w:szCs w:val="24"/>
        </w:rPr>
        <w:t xml:space="preserve"> </w:t>
      </w:r>
    </w:p>
    <w:p w:rsidR="00126740" w:rsidRPr="00B962FA" w:rsidRDefault="004F49DB" w:rsidP="004F49DB">
      <w:pPr>
        <w:spacing w:after="120"/>
        <w:rPr>
          <w:rFonts w:ascii="Times New Roman" w:hAnsi="Times New Roman" w:cs="Times New Roman"/>
          <w:sz w:val="24"/>
          <w:szCs w:val="24"/>
        </w:rPr>
      </w:pPr>
      <w:r>
        <w:t>Source : SSAG, SCAOR ; 2022</w:t>
      </w:r>
    </w:p>
    <w:p w:rsidR="00126740" w:rsidRPr="00B962FA" w:rsidRDefault="00126740" w:rsidP="00126740">
      <w:pPr>
        <w:spacing w:after="120"/>
        <w:rPr>
          <w:rFonts w:ascii="Times New Roman" w:hAnsi="Times New Roman" w:cs="Times New Roman"/>
          <w:sz w:val="24"/>
          <w:szCs w:val="24"/>
        </w:rPr>
      </w:pPr>
    </w:p>
    <w:p w:rsidR="00DF5FC4" w:rsidRDefault="00DF5FC4" w:rsidP="00C44E99">
      <w:pPr>
        <w:pStyle w:val="Paragraphedeliste"/>
        <w:numPr>
          <w:ilvl w:val="2"/>
          <w:numId w:val="14"/>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Certification d’équivalences administratives</w:t>
      </w:r>
      <w:r w:rsidR="0072740D">
        <w:rPr>
          <w:rFonts w:ascii="Times New Roman" w:hAnsi="Times New Roman" w:cs="Times New Roman"/>
          <w:b/>
          <w:i/>
          <w:sz w:val="24"/>
          <w:szCs w:val="24"/>
        </w:rPr>
        <w:t xml:space="preserve"> : </w:t>
      </w:r>
      <w:r w:rsidR="0072740D" w:rsidRPr="0072740D">
        <w:rPr>
          <w:rFonts w:ascii="Times New Roman" w:hAnsi="Times New Roman" w:cs="Times New Roman"/>
          <w:b/>
          <w:i/>
          <w:sz w:val="24"/>
          <w:szCs w:val="24"/>
        </w:rPr>
        <w:t>1925</w:t>
      </w:r>
      <w:r w:rsidR="0072740D">
        <w:rPr>
          <w:rFonts w:ascii="Times New Roman" w:hAnsi="Times New Roman" w:cs="Times New Roman"/>
          <w:b/>
          <w:i/>
          <w:sz w:val="24"/>
          <w:szCs w:val="24"/>
        </w:rPr>
        <w:t xml:space="preserve"> équivalences certifiées, à majorité de la Région Sofia (71%)</w:t>
      </w:r>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38</w:t>
      </w:r>
      <w:r w:rsidRPr="00A55236">
        <w:rPr>
          <w:sz w:val="22"/>
          <w:szCs w:val="22"/>
        </w:rPr>
        <w:fldChar w:fldCharType="end"/>
      </w:r>
      <w:r w:rsidRPr="00A55236">
        <w:rPr>
          <w:sz w:val="22"/>
          <w:szCs w:val="22"/>
        </w:rPr>
        <w:t>.</w:t>
      </w:r>
      <w:r>
        <w:rPr>
          <w:sz w:val="22"/>
          <w:szCs w:val="22"/>
        </w:rPr>
        <w:t xml:space="preserve"> </w:t>
      </w:r>
      <w:r w:rsidR="00C44E99">
        <w:rPr>
          <w:sz w:val="22"/>
          <w:szCs w:val="22"/>
        </w:rPr>
        <w:t>Répartition de certification d’équivalences administratives selon les Régions</w:t>
      </w:r>
    </w:p>
    <w:p w:rsidR="004F49DB" w:rsidRDefault="00CA206C"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25D6A3BC" wp14:editId="36543831">
            <wp:extent cx="4572000" cy="2743200"/>
            <wp:effectExtent l="0" t="0" r="0" b="0"/>
            <wp:docPr id="42"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4F49DB" w:rsidRPr="004F49DB">
        <w:rPr>
          <w:rFonts w:ascii="Times New Roman" w:hAnsi="Times New Roman" w:cs="Times New Roman"/>
          <w:sz w:val="24"/>
          <w:szCs w:val="24"/>
        </w:rPr>
        <w:t xml:space="preserve"> </w:t>
      </w:r>
    </w:p>
    <w:p w:rsidR="00126740" w:rsidRPr="00B962FA" w:rsidRDefault="004F49DB" w:rsidP="004F49DB">
      <w:pPr>
        <w:spacing w:after="120"/>
        <w:rPr>
          <w:rFonts w:ascii="Times New Roman" w:hAnsi="Times New Roman" w:cs="Times New Roman"/>
          <w:sz w:val="24"/>
          <w:szCs w:val="24"/>
        </w:rPr>
      </w:pPr>
      <w:r>
        <w:t>Source : SSAG, SCAOR ; 2022</w:t>
      </w:r>
    </w:p>
    <w:p w:rsidR="00126740" w:rsidRPr="00B962FA" w:rsidRDefault="00126740" w:rsidP="00126740">
      <w:pPr>
        <w:spacing w:after="120"/>
        <w:rPr>
          <w:rFonts w:ascii="Times New Roman" w:hAnsi="Times New Roman" w:cs="Times New Roman"/>
          <w:sz w:val="24"/>
          <w:szCs w:val="24"/>
        </w:rPr>
      </w:pPr>
    </w:p>
    <w:p w:rsidR="00DF5FC4" w:rsidRDefault="00DF5FC4" w:rsidP="00C44E99">
      <w:pPr>
        <w:pStyle w:val="Paragraphedeliste"/>
        <w:numPr>
          <w:ilvl w:val="2"/>
          <w:numId w:val="14"/>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Conseils des usagers</w:t>
      </w:r>
      <w:r w:rsidR="0072740D">
        <w:rPr>
          <w:rFonts w:ascii="Times New Roman" w:hAnsi="Times New Roman" w:cs="Times New Roman"/>
          <w:b/>
          <w:i/>
          <w:sz w:val="24"/>
          <w:szCs w:val="24"/>
        </w:rPr>
        <w:t xml:space="preserve"> : 954 usagers de la Région </w:t>
      </w:r>
      <w:proofErr w:type="spellStart"/>
      <w:r w:rsidR="0072740D">
        <w:rPr>
          <w:rFonts w:ascii="Times New Roman" w:hAnsi="Times New Roman" w:cs="Times New Roman"/>
          <w:b/>
          <w:i/>
          <w:sz w:val="24"/>
          <w:szCs w:val="24"/>
        </w:rPr>
        <w:t>Vakinankaratra</w:t>
      </w:r>
      <w:proofErr w:type="spellEnd"/>
      <w:r w:rsidR="0072740D">
        <w:rPr>
          <w:rFonts w:ascii="Times New Roman" w:hAnsi="Times New Roman" w:cs="Times New Roman"/>
          <w:b/>
          <w:i/>
          <w:sz w:val="24"/>
          <w:szCs w:val="24"/>
        </w:rPr>
        <w:t xml:space="preserve"> conseillés</w:t>
      </w:r>
    </w:p>
    <w:p w:rsidR="00126740" w:rsidRPr="00B962FA" w:rsidRDefault="00126740" w:rsidP="00126740">
      <w:pPr>
        <w:spacing w:after="120"/>
        <w:rPr>
          <w:rFonts w:ascii="Times New Roman" w:hAnsi="Times New Roman" w:cs="Times New Roman"/>
          <w:sz w:val="24"/>
          <w:szCs w:val="24"/>
        </w:rPr>
      </w:pPr>
    </w:p>
    <w:p w:rsidR="00A12DEE" w:rsidRDefault="00A12DEE">
      <w:pPr>
        <w:rPr>
          <w:rFonts w:ascii="Times New Roman" w:hAnsi="Times New Roman" w:cs="Times New Roman"/>
          <w:b/>
          <w:i/>
          <w:sz w:val="24"/>
          <w:szCs w:val="24"/>
        </w:rPr>
      </w:pPr>
      <w:r>
        <w:rPr>
          <w:rFonts w:ascii="Times New Roman" w:hAnsi="Times New Roman" w:cs="Times New Roman"/>
          <w:b/>
          <w:i/>
          <w:sz w:val="24"/>
          <w:szCs w:val="24"/>
        </w:rPr>
        <w:br w:type="page"/>
      </w:r>
    </w:p>
    <w:p w:rsidR="00DF5FC4" w:rsidRDefault="00DF5FC4" w:rsidP="00C44E99">
      <w:pPr>
        <w:pStyle w:val="Paragraphedeliste"/>
        <w:numPr>
          <w:ilvl w:val="2"/>
          <w:numId w:val="14"/>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lastRenderedPageBreak/>
        <w:t>Formations des agents de l'Etat</w:t>
      </w:r>
      <w:r w:rsidR="0072740D">
        <w:rPr>
          <w:rFonts w:ascii="Times New Roman" w:hAnsi="Times New Roman" w:cs="Times New Roman"/>
          <w:b/>
          <w:i/>
          <w:sz w:val="24"/>
          <w:szCs w:val="24"/>
        </w:rPr>
        <w:t xml:space="preserve"> : 22 </w:t>
      </w:r>
      <w:r w:rsidR="00221BD1">
        <w:rPr>
          <w:rFonts w:ascii="Times New Roman" w:hAnsi="Times New Roman" w:cs="Times New Roman"/>
          <w:b/>
          <w:i/>
          <w:sz w:val="24"/>
          <w:szCs w:val="24"/>
        </w:rPr>
        <w:t>sessions</w:t>
      </w:r>
      <w:r w:rsidR="0072740D">
        <w:rPr>
          <w:rFonts w:ascii="Times New Roman" w:hAnsi="Times New Roman" w:cs="Times New Roman"/>
          <w:b/>
          <w:i/>
          <w:sz w:val="24"/>
          <w:szCs w:val="24"/>
        </w:rPr>
        <w:t xml:space="preserve"> </w:t>
      </w:r>
      <w:r w:rsidR="00221BD1">
        <w:rPr>
          <w:rFonts w:ascii="Times New Roman" w:hAnsi="Times New Roman" w:cs="Times New Roman"/>
          <w:b/>
          <w:i/>
          <w:sz w:val="24"/>
          <w:szCs w:val="24"/>
        </w:rPr>
        <w:t>organisées</w:t>
      </w:r>
      <w:r w:rsidR="0072740D">
        <w:rPr>
          <w:rFonts w:ascii="Times New Roman" w:hAnsi="Times New Roman" w:cs="Times New Roman"/>
          <w:b/>
          <w:i/>
          <w:sz w:val="24"/>
          <w:szCs w:val="24"/>
        </w:rPr>
        <w:t>, 41% de la Région SAVA</w:t>
      </w:r>
    </w:p>
    <w:p w:rsidR="005942F6" w:rsidRPr="005942F6" w:rsidRDefault="007F538B" w:rsidP="005942F6">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39</w:t>
      </w:r>
      <w:r w:rsidRPr="00A55236">
        <w:rPr>
          <w:sz w:val="22"/>
          <w:szCs w:val="22"/>
        </w:rPr>
        <w:fldChar w:fldCharType="end"/>
      </w:r>
      <w:r w:rsidRPr="00A55236">
        <w:rPr>
          <w:sz w:val="22"/>
          <w:szCs w:val="22"/>
        </w:rPr>
        <w:t>.</w:t>
      </w:r>
      <w:r>
        <w:rPr>
          <w:sz w:val="22"/>
          <w:szCs w:val="22"/>
        </w:rPr>
        <w:t xml:space="preserve"> </w:t>
      </w:r>
      <w:r w:rsidR="00680103">
        <w:rPr>
          <w:sz w:val="22"/>
          <w:szCs w:val="22"/>
        </w:rPr>
        <w:t xml:space="preserve">Répartition des sessions de formation d’agents de l’Etat </w:t>
      </w:r>
      <w:r w:rsidR="00C44E99">
        <w:rPr>
          <w:sz w:val="22"/>
          <w:szCs w:val="22"/>
        </w:rPr>
        <w:t>selon les Régions</w:t>
      </w:r>
    </w:p>
    <w:p w:rsidR="007F538B" w:rsidRPr="007F538B" w:rsidRDefault="005942F6" w:rsidP="005942F6">
      <w:pPr>
        <w:pStyle w:val="Lgende"/>
        <w:numPr>
          <w:ilvl w:val="0"/>
          <w:numId w:val="6"/>
        </w:numPr>
        <w:spacing w:after="0"/>
        <w:jc w:val="center"/>
        <w:rPr>
          <w:rFonts w:ascii="Times New Roman" w:hAnsi="Times New Roman" w:cs="Times New Roman"/>
          <w:sz w:val="24"/>
          <w:szCs w:val="24"/>
        </w:rPr>
      </w:pPr>
      <w:r>
        <w:rPr>
          <w:noProof/>
          <w:lang w:eastAsia="fr-FR"/>
        </w:rPr>
        <w:drawing>
          <wp:inline distT="0" distB="0" distL="0" distR="0" wp14:anchorId="48E32592" wp14:editId="4D253578">
            <wp:extent cx="5095875" cy="2743200"/>
            <wp:effectExtent l="0" t="0" r="9525" b="0"/>
            <wp:docPr id="43"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F49DB" w:rsidRDefault="004F49DB" w:rsidP="00447524">
      <w:pPr>
        <w:pStyle w:val="Paragraphedeliste"/>
        <w:spacing w:after="0"/>
        <w:ind w:left="0"/>
        <w:contextualSpacing w:val="0"/>
        <w:jc w:val="center"/>
        <w:rPr>
          <w:rFonts w:ascii="Times New Roman" w:hAnsi="Times New Roman" w:cs="Times New Roman"/>
          <w:sz w:val="24"/>
          <w:szCs w:val="24"/>
        </w:rPr>
      </w:pPr>
    </w:p>
    <w:p w:rsidR="00126740" w:rsidRPr="00B962FA" w:rsidRDefault="004F49DB" w:rsidP="004F49DB">
      <w:pPr>
        <w:spacing w:after="120"/>
        <w:rPr>
          <w:rFonts w:ascii="Times New Roman" w:hAnsi="Times New Roman" w:cs="Times New Roman"/>
          <w:sz w:val="24"/>
          <w:szCs w:val="24"/>
        </w:rPr>
      </w:pPr>
      <w:r>
        <w:t>Source : SSAG, SCAOR ; 2022</w:t>
      </w:r>
    </w:p>
    <w:p w:rsidR="00126740" w:rsidRPr="00B962FA" w:rsidRDefault="00126740" w:rsidP="00126740">
      <w:pPr>
        <w:spacing w:after="120"/>
        <w:rPr>
          <w:rFonts w:ascii="Times New Roman" w:hAnsi="Times New Roman" w:cs="Times New Roman"/>
          <w:sz w:val="24"/>
          <w:szCs w:val="24"/>
        </w:rPr>
      </w:pPr>
    </w:p>
    <w:p w:rsidR="00DF5FC4" w:rsidRDefault="00DF5FC4" w:rsidP="00C44E99">
      <w:pPr>
        <w:pStyle w:val="Paragraphedeliste"/>
        <w:numPr>
          <w:ilvl w:val="2"/>
          <w:numId w:val="14"/>
        </w:numPr>
        <w:spacing w:after="120"/>
        <w:contextualSpacing w:val="0"/>
        <w:outlineLvl w:val="2"/>
        <w:rPr>
          <w:rFonts w:ascii="Times New Roman" w:hAnsi="Times New Roman" w:cs="Times New Roman"/>
          <w:b/>
          <w:i/>
          <w:sz w:val="24"/>
          <w:szCs w:val="24"/>
        </w:rPr>
      </w:pPr>
      <w:r w:rsidRPr="00EF6589">
        <w:rPr>
          <w:rFonts w:ascii="Times New Roman" w:hAnsi="Times New Roman" w:cs="Times New Roman"/>
          <w:b/>
          <w:i/>
          <w:sz w:val="24"/>
          <w:szCs w:val="24"/>
        </w:rPr>
        <w:t>Renforcement de capacité</w:t>
      </w:r>
      <w:bookmarkStart w:id="0" w:name="_GoBack"/>
      <w:bookmarkEnd w:id="0"/>
      <w:r w:rsidRPr="00EF6589">
        <w:rPr>
          <w:rFonts w:ascii="Times New Roman" w:hAnsi="Times New Roman" w:cs="Times New Roman"/>
          <w:b/>
          <w:i/>
          <w:sz w:val="24"/>
          <w:szCs w:val="24"/>
        </w:rPr>
        <w:t xml:space="preserve"> </w:t>
      </w:r>
      <w:r w:rsidR="00C44E99">
        <w:rPr>
          <w:rFonts w:ascii="Times New Roman" w:hAnsi="Times New Roman" w:cs="Times New Roman"/>
          <w:b/>
          <w:i/>
          <w:sz w:val="24"/>
          <w:szCs w:val="24"/>
        </w:rPr>
        <w:t>sur l’</w:t>
      </w:r>
      <w:r w:rsidRPr="00EF6589">
        <w:rPr>
          <w:rFonts w:ascii="Times New Roman" w:hAnsi="Times New Roman" w:cs="Times New Roman"/>
          <w:b/>
          <w:i/>
          <w:sz w:val="24"/>
          <w:szCs w:val="24"/>
        </w:rPr>
        <w:t>AUGURE</w:t>
      </w:r>
      <w:r w:rsidR="0072740D">
        <w:rPr>
          <w:rFonts w:ascii="Times New Roman" w:hAnsi="Times New Roman" w:cs="Times New Roman"/>
          <w:b/>
          <w:i/>
          <w:sz w:val="24"/>
          <w:szCs w:val="24"/>
        </w:rPr>
        <w:t xml:space="preserve"> : 12 </w:t>
      </w:r>
      <w:r w:rsidR="00221BD1">
        <w:rPr>
          <w:rFonts w:ascii="Times New Roman" w:hAnsi="Times New Roman" w:cs="Times New Roman"/>
          <w:b/>
          <w:i/>
          <w:sz w:val="24"/>
          <w:szCs w:val="24"/>
        </w:rPr>
        <w:t xml:space="preserve">sessions organisées, majoritairement dans les Régions </w:t>
      </w:r>
      <w:proofErr w:type="spellStart"/>
      <w:r w:rsidR="00221BD1">
        <w:rPr>
          <w:rFonts w:ascii="Times New Roman" w:hAnsi="Times New Roman" w:cs="Times New Roman"/>
          <w:b/>
          <w:i/>
          <w:sz w:val="24"/>
          <w:szCs w:val="24"/>
        </w:rPr>
        <w:t>Vakinankaratra</w:t>
      </w:r>
      <w:proofErr w:type="spellEnd"/>
      <w:r w:rsidR="00221BD1">
        <w:rPr>
          <w:rFonts w:ascii="Times New Roman" w:hAnsi="Times New Roman" w:cs="Times New Roman"/>
          <w:b/>
          <w:i/>
          <w:sz w:val="24"/>
          <w:szCs w:val="24"/>
        </w:rPr>
        <w:t xml:space="preserve"> (33%) et SAVA (33%)</w:t>
      </w:r>
    </w:p>
    <w:p w:rsidR="007F538B" w:rsidRPr="007F538B" w:rsidRDefault="007F538B" w:rsidP="007F538B">
      <w:pPr>
        <w:pStyle w:val="Lgende"/>
        <w:numPr>
          <w:ilvl w:val="0"/>
          <w:numId w:val="6"/>
        </w:numPr>
        <w:spacing w:after="0"/>
        <w:rPr>
          <w:rFonts w:ascii="Times New Roman" w:hAnsi="Times New Roman" w:cs="Times New Roman"/>
          <w:sz w:val="24"/>
          <w:szCs w:val="24"/>
        </w:rPr>
      </w:pPr>
      <w:r w:rsidRPr="00A55236">
        <w:rPr>
          <w:sz w:val="22"/>
          <w:szCs w:val="22"/>
        </w:rPr>
        <w:t xml:space="preserve">Figure </w:t>
      </w:r>
      <w:r w:rsidRPr="00A55236">
        <w:rPr>
          <w:sz w:val="22"/>
          <w:szCs w:val="22"/>
        </w:rPr>
        <w:fldChar w:fldCharType="begin"/>
      </w:r>
      <w:r w:rsidRPr="00A55236">
        <w:rPr>
          <w:sz w:val="22"/>
          <w:szCs w:val="22"/>
        </w:rPr>
        <w:instrText xml:space="preserve"> SEQ Figure \* ARABIC </w:instrText>
      </w:r>
      <w:r w:rsidRPr="00A55236">
        <w:rPr>
          <w:sz w:val="22"/>
          <w:szCs w:val="22"/>
        </w:rPr>
        <w:fldChar w:fldCharType="separate"/>
      </w:r>
      <w:r w:rsidR="005B5C4E">
        <w:rPr>
          <w:noProof/>
          <w:sz w:val="22"/>
          <w:szCs w:val="22"/>
        </w:rPr>
        <w:t>40</w:t>
      </w:r>
      <w:r w:rsidRPr="00A55236">
        <w:rPr>
          <w:sz w:val="22"/>
          <w:szCs w:val="22"/>
        </w:rPr>
        <w:fldChar w:fldCharType="end"/>
      </w:r>
      <w:r w:rsidRPr="00A55236">
        <w:rPr>
          <w:sz w:val="22"/>
          <w:szCs w:val="22"/>
        </w:rPr>
        <w:t>.</w:t>
      </w:r>
      <w:r>
        <w:rPr>
          <w:sz w:val="22"/>
          <w:szCs w:val="22"/>
        </w:rPr>
        <w:t xml:space="preserve"> </w:t>
      </w:r>
      <w:r w:rsidR="00C44E99">
        <w:rPr>
          <w:sz w:val="22"/>
          <w:szCs w:val="22"/>
        </w:rPr>
        <w:t xml:space="preserve">Répartition </w:t>
      </w:r>
      <w:r w:rsidR="00680103">
        <w:rPr>
          <w:sz w:val="22"/>
          <w:szCs w:val="22"/>
        </w:rPr>
        <w:t xml:space="preserve">des sessions de </w:t>
      </w:r>
      <w:r w:rsidR="00680103">
        <w:rPr>
          <w:sz w:val="22"/>
          <w:szCs w:val="22"/>
        </w:rPr>
        <w:t xml:space="preserve">renforcement de capacité </w:t>
      </w:r>
      <w:r w:rsidR="00C44E99">
        <w:rPr>
          <w:sz w:val="22"/>
          <w:szCs w:val="22"/>
        </w:rPr>
        <w:t>sur l’AUGURE selon les Régions</w:t>
      </w:r>
    </w:p>
    <w:p w:rsidR="004F49DB" w:rsidRDefault="00CA206C" w:rsidP="00447524">
      <w:pPr>
        <w:pStyle w:val="Paragraphedeliste"/>
        <w:spacing w:after="0"/>
        <w:ind w:left="0"/>
        <w:contextualSpacing w:val="0"/>
        <w:jc w:val="center"/>
        <w:rPr>
          <w:rFonts w:ascii="Times New Roman" w:hAnsi="Times New Roman" w:cs="Times New Roman"/>
          <w:sz w:val="24"/>
          <w:szCs w:val="24"/>
        </w:rPr>
      </w:pPr>
      <w:r>
        <w:rPr>
          <w:noProof/>
          <w:lang w:eastAsia="fr-FR"/>
        </w:rPr>
        <w:drawing>
          <wp:inline distT="0" distB="0" distL="0" distR="0" wp14:anchorId="25D1DCBB" wp14:editId="7F0DBFB5">
            <wp:extent cx="4572000" cy="2743200"/>
            <wp:effectExtent l="0" t="0" r="0" b="0"/>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4F49DB" w:rsidRPr="004F49DB">
        <w:rPr>
          <w:rFonts w:ascii="Times New Roman" w:hAnsi="Times New Roman" w:cs="Times New Roman"/>
          <w:sz w:val="24"/>
          <w:szCs w:val="24"/>
        </w:rPr>
        <w:t xml:space="preserve"> </w:t>
      </w:r>
    </w:p>
    <w:p w:rsidR="00126740" w:rsidRPr="00B962FA" w:rsidRDefault="004F49DB" w:rsidP="004F49DB">
      <w:pPr>
        <w:spacing w:after="120"/>
        <w:rPr>
          <w:rFonts w:ascii="Times New Roman" w:hAnsi="Times New Roman" w:cs="Times New Roman"/>
          <w:sz w:val="24"/>
          <w:szCs w:val="24"/>
        </w:rPr>
      </w:pPr>
      <w:r>
        <w:t>Source : SSAG, SCAOR ; 2022</w:t>
      </w:r>
    </w:p>
    <w:p w:rsidR="00DF063A" w:rsidRPr="00DF063A" w:rsidRDefault="00DF063A" w:rsidP="00C44E99">
      <w:pPr>
        <w:pStyle w:val="Paragraphedeliste"/>
        <w:spacing w:after="120"/>
        <w:ind w:left="227"/>
        <w:outlineLvl w:val="1"/>
        <w:rPr>
          <w:rFonts w:ascii="Times New Roman" w:hAnsi="Times New Roman" w:cs="Times New Roman"/>
          <w:b/>
          <w:sz w:val="24"/>
          <w:szCs w:val="24"/>
        </w:rPr>
      </w:pPr>
      <w:r w:rsidRPr="00DF063A">
        <w:rPr>
          <w:rFonts w:ascii="Times New Roman" w:hAnsi="Times New Roman" w:cs="Times New Roman"/>
          <w:b/>
          <w:sz w:val="24"/>
          <w:szCs w:val="24"/>
        </w:rPr>
        <w:t>Conclusion</w:t>
      </w:r>
    </w:p>
    <w:p w:rsidR="00727D64" w:rsidRPr="00DF063A" w:rsidRDefault="00727D64" w:rsidP="00727D64">
      <w:pPr>
        <w:spacing w:after="120"/>
        <w:jc w:val="both"/>
        <w:rPr>
          <w:rFonts w:ascii="Times New Roman" w:hAnsi="Times New Roman" w:cs="Times New Roman"/>
          <w:sz w:val="24"/>
          <w:szCs w:val="24"/>
        </w:rPr>
      </w:pPr>
      <w:r w:rsidRPr="00DF063A">
        <w:rPr>
          <w:rFonts w:ascii="Times New Roman" w:hAnsi="Times New Roman" w:cs="Times New Roman"/>
          <w:sz w:val="24"/>
          <w:szCs w:val="24"/>
        </w:rPr>
        <w:t xml:space="preserve">A lecture des statistiques, il est remarqué en premier lieu la prédominance globale des bénéficiaires de la Région </w:t>
      </w:r>
      <w:proofErr w:type="spellStart"/>
      <w:r w:rsidRPr="00DF063A">
        <w:rPr>
          <w:rFonts w:ascii="Times New Roman" w:hAnsi="Times New Roman" w:cs="Times New Roman"/>
          <w:sz w:val="24"/>
          <w:szCs w:val="24"/>
        </w:rPr>
        <w:t>Analamanga</w:t>
      </w:r>
      <w:proofErr w:type="spellEnd"/>
      <w:r w:rsidRPr="00DF063A">
        <w:rPr>
          <w:rFonts w:ascii="Times New Roman" w:hAnsi="Times New Roman" w:cs="Times New Roman"/>
          <w:sz w:val="24"/>
          <w:szCs w:val="24"/>
        </w:rPr>
        <w:t xml:space="preserve">. En second lieu, nous notons que les usagers de quelques Régions sortent du lot à savoir : </w:t>
      </w:r>
      <w:proofErr w:type="spellStart"/>
      <w:r w:rsidRPr="00DF063A">
        <w:rPr>
          <w:rFonts w:ascii="Times New Roman" w:hAnsi="Times New Roman" w:cs="Times New Roman"/>
          <w:sz w:val="24"/>
          <w:szCs w:val="24"/>
        </w:rPr>
        <w:t>Vakinankaratra</w:t>
      </w:r>
      <w:proofErr w:type="spellEnd"/>
      <w:r w:rsidRPr="00DF063A">
        <w:rPr>
          <w:rFonts w:ascii="Times New Roman" w:hAnsi="Times New Roman" w:cs="Times New Roman"/>
          <w:sz w:val="24"/>
          <w:szCs w:val="24"/>
        </w:rPr>
        <w:t>, Sofia, Betsiboka, SAVA et Diana. Le nombre de bénéficiaires de ces derniers Régions dépasse même celui de la Régi</w:t>
      </w:r>
      <w:r w:rsidR="005942F6" w:rsidRPr="00DF063A">
        <w:rPr>
          <w:rFonts w:ascii="Times New Roman" w:hAnsi="Times New Roman" w:cs="Times New Roman"/>
          <w:sz w:val="24"/>
          <w:szCs w:val="24"/>
        </w:rPr>
        <w:t xml:space="preserve">on </w:t>
      </w:r>
      <w:proofErr w:type="spellStart"/>
      <w:r w:rsidR="005942F6" w:rsidRPr="00DF063A">
        <w:rPr>
          <w:rFonts w:ascii="Times New Roman" w:hAnsi="Times New Roman" w:cs="Times New Roman"/>
          <w:sz w:val="24"/>
          <w:szCs w:val="24"/>
        </w:rPr>
        <w:t>Analamanga</w:t>
      </w:r>
      <w:proofErr w:type="spellEnd"/>
      <w:r w:rsidR="005942F6" w:rsidRPr="00DF063A">
        <w:rPr>
          <w:rFonts w:ascii="Times New Roman" w:hAnsi="Times New Roman" w:cs="Times New Roman"/>
          <w:sz w:val="24"/>
          <w:szCs w:val="24"/>
        </w:rPr>
        <w:t xml:space="preserve"> pour quelques services. </w:t>
      </w:r>
      <w:r w:rsidR="00DD7E1C" w:rsidRPr="00DF063A">
        <w:rPr>
          <w:rFonts w:ascii="Times New Roman" w:hAnsi="Times New Roman" w:cs="Times New Roman"/>
          <w:sz w:val="24"/>
          <w:szCs w:val="24"/>
        </w:rPr>
        <w:t>Il serait opportun d’effectuer une étude plus poussée dans ces Régions pour confirmer les sources de cet essor.</w:t>
      </w:r>
    </w:p>
    <w:sectPr w:rsidR="00727D64" w:rsidRPr="00DF063A" w:rsidSect="00DF063A">
      <w:pgSz w:w="11906" w:h="16838"/>
      <w:pgMar w:top="1134" w:right="1418"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AE5" w:rsidRDefault="00E84AE5" w:rsidP="00A12DEE">
      <w:pPr>
        <w:spacing w:after="0" w:line="240" w:lineRule="auto"/>
      </w:pPr>
      <w:r>
        <w:separator/>
      </w:r>
    </w:p>
  </w:endnote>
  <w:endnote w:type="continuationSeparator" w:id="0">
    <w:p w:rsidR="00E84AE5" w:rsidRDefault="00E84AE5" w:rsidP="00A12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EE" w:rsidRDefault="00A12DEE" w:rsidP="00A12DEE">
    <w:pPr>
      <w:tabs>
        <w:tab w:val="center" w:pos="4550"/>
        <w:tab w:val="left" w:pos="5818"/>
      </w:tabs>
      <w:ind w:right="260"/>
      <w:jc w:val="right"/>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680103">
      <w:rPr>
        <w:noProof/>
        <w:color w:val="323E4F" w:themeColor="text2" w:themeShade="BF"/>
        <w:sz w:val="24"/>
        <w:szCs w:val="24"/>
      </w:rPr>
      <w:t>22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680103">
      <w:rPr>
        <w:noProof/>
        <w:color w:val="323E4F" w:themeColor="text2" w:themeShade="BF"/>
        <w:sz w:val="24"/>
        <w:szCs w:val="24"/>
      </w:rPr>
      <w:t>22</w:t>
    </w:r>
    <w:r>
      <w:rPr>
        <w:color w:val="323E4F" w:themeColor="text2" w:themeShade="B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AE5" w:rsidRDefault="00E84AE5" w:rsidP="00A12DEE">
      <w:pPr>
        <w:spacing w:after="0" w:line="240" w:lineRule="auto"/>
      </w:pPr>
      <w:r>
        <w:separator/>
      </w:r>
    </w:p>
  </w:footnote>
  <w:footnote w:type="continuationSeparator" w:id="0">
    <w:p w:rsidR="00E84AE5" w:rsidRDefault="00E84AE5" w:rsidP="00A12D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B0561"/>
    <w:multiLevelType w:val="multilevel"/>
    <w:tmpl w:val="32D6A908"/>
    <w:lvl w:ilvl="0">
      <w:start w:val="1"/>
      <w:numFmt w:val="none"/>
      <w:suff w:val="nothing"/>
      <w:lvlText w:val="%1"/>
      <w:lvlJc w:val="left"/>
      <w:pPr>
        <w:ind w:left="0" w:firstLine="0"/>
      </w:pPr>
      <w:rPr>
        <w:rFonts w:hint="default"/>
      </w:rPr>
    </w:lvl>
    <w:lvl w:ilvl="1">
      <w:start w:val="3"/>
      <w:numFmt w:val="upperRoman"/>
      <w:lvlRestart w:val="0"/>
      <w:lvlText w:val="%2."/>
      <w:lvlJc w:val="left"/>
      <w:pPr>
        <w:ind w:left="170" w:firstLine="57"/>
      </w:pPr>
      <w:rPr>
        <w:rFonts w:hint="default"/>
      </w:rPr>
    </w:lvl>
    <w:lvl w:ilvl="2">
      <w:start w:val="1"/>
      <w:numFmt w:val="decimal"/>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22C33A7F"/>
    <w:multiLevelType w:val="multilevel"/>
    <w:tmpl w:val="5A82C488"/>
    <w:name w:val="Cool4"/>
    <w:lvl w:ilvl="0">
      <w:start w:val="1"/>
      <w:numFmt w:val="none"/>
      <w:suff w:val="nothing"/>
      <w:lvlText w:val="%1"/>
      <w:lvlJc w:val="left"/>
      <w:pPr>
        <w:ind w:left="0" w:firstLine="0"/>
      </w:pPr>
      <w:rPr>
        <w:rFonts w:hint="default"/>
      </w:rPr>
    </w:lvl>
    <w:lvl w:ilvl="1">
      <w:start w:val="1"/>
      <w:numFmt w:val="upperRoman"/>
      <w:lvlText w:val="%2."/>
      <w:lvlJc w:val="left"/>
      <w:pPr>
        <w:ind w:left="170" w:firstLine="57"/>
      </w:pPr>
      <w:rPr>
        <w:rFonts w:hint="default"/>
      </w:rPr>
    </w:lvl>
    <w:lvl w:ilvl="2">
      <w:start w:val="1"/>
      <w:numFmt w:val="decimal"/>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E4664CD"/>
    <w:multiLevelType w:val="multilevel"/>
    <w:tmpl w:val="067C13C6"/>
    <w:name w:val="Cool222"/>
    <w:lvl w:ilvl="0">
      <w:start w:val="1"/>
      <w:numFmt w:val="none"/>
      <w:suff w:val="nothing"/>
      <w:lvlText w:val="%1"/>
      <w:lvlJc w:val="left"/>
      <w:pPr>
        <w:ind w:left="0" w:firstLine="0"/>
      </w:pPr>
      <w:rPr>
        <w:rFonts w:hint="default"/>
      </w:rPr>
    </w:lvl>
    <w:lvl w:ilvl="1">
      <w:start w:val="1"/>
      <w:numFmt w:val="upperRoman"/>
      <w:lvlText w:val="%2."/>
      <w:lvlJc w:val="left"/>
      <w:pPr>
        <w:ind w:left="170" w:firstLine="57"/>
      </w:pPr>
      <w:rPr>
        <w:rFonts w:hint="default"/>
      </w:rPr>
    </w:lvl>
    <w:lvl w:ilvl="2">
      <w:start w:val="1"/>
      <w:numFmt w:val="decimal"/>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F05078F"/>
    <w:multiLevelType w:val="multilevel"/>
    <w:tmpl w:val="C43233FA"/>
    <w:lvl w:ilvl="0">
      <w:start w:val="1"/>
      <w:numFmt w:val="none"/>
      <w:suff w:val="nothing"/>
      <w:lvlText w:val="%1"/>
      <w:lvlJc w:val="left"/>
      <w:pPr>
        <w:ind w:left="0" w:firstLine="0"/>
      </w:pPr>
      <w:rPr>
        <w:rFonts w:hint="default"/>
      </w:rPr>
    </w:lvl>
    <w:lvl w:ilvl="1">
      <w:start w:val="2"/>
      <w:numFmt w:val="upperRoman"/>
      <w:lvlRestart w:val="0"/>
      <w:lvlText w:val="%2."/>
      <w:lvlJc w:val="left"/>
      <w:pPr>
        <w:ind w:left="170" w:firstLine="57"/>
      </w:pPr>
      <w:rPr>
        <w:rFonts w:hint="default"/>
      </w:rPr>
    </w:lvl>
    <w:lvl w:ilvl="2">
      <w:start w:val="1"/>
      <w:numFmt w:val="decimal"/>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31204C86"/>
    <w:multiLevelType w:val="multilevel"/>
    <w:tmpl w:val="091E4528"/>
    <w:name w:val="Cool42"/>
    <w:lvl w:ilvl="0">
      <w:start w:val="1"/>
      <w:numFmt w:val="none"/>
      <w:suff w:val="nothing"/>
      <w:lvlText w:val="%1"/>
      <w:lvlJc w:val="left"/>
      <w:pPr>
        <w:ind w:left="0" w:firstLine="0"/>
      </w:pPr>
      <w:rPr>
        <w:rFonts w:hint="default"/>
      </w:rPr>
    </w:lvl>
    <w:lvl w:ilvl="1">
      <w:start w:val="1"/>
      <w:numFmt w:val="upperRoman"/>
      <w:lvlText w:val="%2."/>
      <w:lvlJc w:val="left"/>
      <w:pPr>
        <w:ind w:left="170" w:firstLine="57"/>
      </w:pPr>
      <w:rPr>
        <w:rFonts w:hint="default"/>
      </w:rPr>
    </w:lvl>
    <w:lvl w:ilvl="2">
      <w:start w:val="1"/>
      <w:numFmt w:val="decimal"/>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435097E"/>
    <w:multiLevelType w:val="multilevel"/>
    <w:tmpl w:val="385ED0F0"/>
    <w:lvl w:ilvl="0">
      <w:start w:val="1"/>
      <w:numFmt w:val="none"/>
      <w:suff w:val="nothing"/>
      <w:lvlText w:val="%1"/>
      <w:lvlJc w:val="left"/>
      <w:pPr>
        <w:ind w:left="0" w:firstLine="0"/>
      </w:pPr>
      <w:rPr>
        <w:rFonts w:hint="default"/>
      </w:rPr>
    </w:lvl>
    <w:lvl w:ilvl="1">
      <w:start w:val="1"/>
      <w:numFmt w:val="upperRoman"/>
      <w:lvlRestart w:val="0"/>
      <w:lvlText w:val="%2."/>
      <w:lvlJc w:val="left"/>
      <w:pPr>
        <w:ind w:left="170" w:firstLine="57"/>
      </w:pPr>
      <w:rPr>
        <w:rFonts w:hint="default"/>
      </w:rPr>
    </w:lvl>
    <w:lvl w:ilvl="2">
      <w:start w:val="1"/>
      <w:numFmt w:val="decimal"/>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8972952"/>
    <w:multiLevelType w:val="multilevel"/>
    <w:tmpl w:val="091E4528"/>
    <w:name w:val="Cool22"/>
    <w:lvl w:ilvl="0">
      <w:start w:val="1"/>
      <w:numFmt w:val="none"/>
      <w:suff w:val="nothing"/>
      <w:lvlText w:val="%1"/>
      <w:lvlJc w:val="left"/>
      <w:pPr>
        <w:ind w:left="0" w:firstLine="0"/>
      </w:pPr>
      <w:rPr>
        <w:rFonts w:hint="default"/>
      </w:rPr>
    </w:lvl>
    <w:lvl w:ilvl="1">
      <w:start w:val="1"/>
      <w:numFmt w:val="upperRoman"/>
      <w:lvlText w:val="%2."/>
      <w:lvlJc w:val="left"/>
      <w:pPr>
        <w:ind w:left="170" w:firstLine="57"/>
      </w:pPr>
      <w:rPr>
        <w:rFonts w:hint="default"/>
      </w:rPr>
    </w:lvl>
    <w:lvl w:ilvl="2">
      <w:start w:val="1"/>
      <w:numFmt w:val="decimal"/>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5B4F33D5"/>
    <w:multiLevelType w:val="multilevel"/>
    <w:tmpl w:val="A0D22D98"/>
    <w:name w:val="Cool"/>
    <w:lvl w:ilvl="0">
      <w:start w:val="1"/>
      <w:numFmt w:val="none"/>
      <w:suff w:val="nothing"/>
      <w:lvlText w:val="%1"/>
      <w:lvlJc w:val="left"/>
      <w:pPr>
        <w:ind w:left="0" w:firstLine="0"/>
      </w:pPr>
      <w:rPr>
        <w:rFonts w:hint="default"/>
      </w:rPr>
    </w:lvl>
    <w:lvl w:ilvl="1">
      <w:start w:val="1"/>
      <w:numFmt w:val="upperRoman"/>
      <w:lvlText w:val="%2."/>
      <w:lvlJc w:val="left"/>
      <w:pPr>
        <w:ind w:left="170" w:firstLine="57"/>
      </w:pPr>
      <w:rPr>
        <w:rFonts w:hint="default"/>
      </w:rPr>
    </w:lvl>
    <w:lvl w:ilvl="2">
      <w:start w:val="1"/>
      <w:numFmt w:val="decimal"/>
      <w:suff w:val="space"/>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72016084"/>
    <w:multiLevelType w:val="multilevel"/>
    <w:tmpl w:val="2AE87562"/>
    <w:lvl w:ilvl="0">
      <w:start w:val="1"/>
      <w:numFmt w:val="none"/>
      <w:suff w:val="nothing"/>
      <w:lvlText w:val="%1"/>
      <w:lvlJc w:val="left"/>
      <w:pPr>
        <w:ind w:left="0" w:firstLine="0"/>
      </w:pPr>
      <w:rPr>
        <w:rFonts w:hint="default"/>
      </w:rPr>
    </w:lvl>
    <w:lvl w:ilvl="1">
      <w:start w:val="2"/>
      <w:numFmt w:val="upperRoman"/>
      <w:lvlRestart w:val="0"/>
      <w:lvlText w:val="%2."/>
      <w:lvlJc w:val="left"/>
      <w:pPr>
        <w:ind w:left="170" w:firstLine="57"/>
      </w:pPr>
      <w:rPr>
        <w:rFonts w:hint="default"/>
      </w:rPr>
    </w:lvl>
    <w:lvl w:ilvl="2">
      <w:start w:val="1"/>
      <w:numFmt w:val="decimal"/>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74B46E5D"/>
    <w:multiLevelType w:val="hybridMultilevel"/>
    <w:tmpl w:val="4B5EC20C"/>
    <w:lvl w:ilvl="0" w:tplc="3D266222">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FB05FEC"/>
    <w:multiLevelType w:val="multilevel"/>
    <w:tmpl w:val="091E4528"/>
    <w:name w:val="Cool422"/>
    <w:lvl w:ilvl="0">
      <w:start w:val="1"/>
      <w:numFmt w:val="none"/>
      <w:suff w:val="nothing"/>
      <w:lvlText w:val="%1"/>
      <w:lvlJc w:val="left"/>
      <w:pPr>
        <w:ind w:left="0" w:firstLine="0"/>
      </w:pPr>
      <w:rPr>
        <w:rFonts w:hint="default"/>
      </w:rPr>
    </w:lvl>
    <w:lvl w:ilvl="1">
      <w:start w:val="1"/>
      <w:numFmt w:val="upperRoman"/>
      <w:lvlText w:val="%2."/>
      <w:lvlJc w:val="left"/>
      <w:pPr>
        <w:ind w:left="170" w:firstLine="57"/>
      </w:pPr>
      <w:rPr>
        <w:rFonts w:hint="default"/>
      </w:rPr>
    </w:lvl>
    <w:lvl w:ilvl="2">
      <w:start w:val="1"/>
      <w:numFmt w:val="decimal"/>
      <w:lvlText w:val="%2.%3."/>
      <w:lvlJc w:val="left"/>
      <w:pPr>
        <w:ind w:left="340" w:firstLine="1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1"/>
  </w:num>
  <w:num w:numId="3">
    <w:abstractNumId w:val="6"/>
  </w:num>
  <w:num w:numId="4">
    <w:abstractNumId w:val="2"/>
  </w:num>
  <w:num w:numId="5">
    <w:abstractNumId w:val="5"/>
  </w:num>
  <w:num w:numId="6">
    <w:abstractNumId w:val="8"/>
  </w:num>
  <w:num w:numId="7">
    <w:abstractNumId w:val="1"/>
    <w:lvlOverride w:ilvl="0">
      <w:lvl w:ilvl="0">
        <w:start w:val="1"/>
        <w:numFmt w:val="none"/>
        <w:suff w:val="nothing"/>
        <w:lvlText w:val="%1"/>
        <w:lvlJc w:val="left"/>
        <w:pPr>
          <w:ind w:left="0" w:firstLine="0"/>
        </w:pPr>
        <w:rPr>
          <w:rFonts w:hint="default"/>
        </w:rPr>
      </w:lvl>
    </w:lvlOverride>
    <w:lvlOverride w:ilvl="1">
      <w:lvl w:ilvl="1">
        <w:start w:val="1"/>
        <w:numFmt w:val="upperRoman"/>
        <w:lvlText w:val="%2."/>
        <w:lvlJc w:val="left"/>
        <w:pPr>
          <w:ind w:left="170" w:firstLine="57"/>
        </w:pPr>
        <w:rPr>
          <w:rFonts w:hint="default"/>
        </w:rPr>
      </w:lvl>
    </w:lvlOverride>
    <w:lvlOverride w:ilvl="2">
      <w:lvl w:ilvl="2">
        <w:start w:val="1"/>
        <w:numFmt w:val="decimal"/>
        <w:lvlText w:val="%2.%3."/>
        <w:lvlJc w:val="left"/>
        <w:pPr>
          <w:ind w:left="340" w:firstLine="11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abstractNumId w:val="1"/>
    <w:lvlOverride w:ilvl="0">
      <w:lvl w:ilvl="0">
        <w:start w:val="1"/>
        <w:numFmt w:val="none"/>
        <w:suff w:val="nothing"/>
        <w:lvlText w:val="%1"/>
        <w:lvlJc w:val="left"/>
        <w:pPr>
          <w:ind w:left="0" w:firstLine="0"/>
        </w:pPr>
        <w:rPr>
          <w:rFonts w:hint="default"/>
        </w:rPr>
      </w:lvl>
    </w:lvlOverride>
    <w:lvlOverride w:ilvl="1">
      <w:lvl w:ilvl="1">
        <w:start w:val="1"/>
        <w:numFmt w:val="upperRoman"/>
        <w:lvlText w:val="%2."/>
        <w:lvlJc w:val="left"/>
        <w:pPr>
          <w:ind w:left="170" w:firstLine="57"/>
        </w:pPr>
        <w:rPr>
          <w:rFonts w:hint="default"/>
        </w:rPr>
      </w:lvl>
    </w:lvlOverride>
    <w:lvlOverride w:ilvl="2">
      <w:lvl w:ilvl="2">
        <w:start w:val="1"/>
        <w:numFmt w:val="decimal"/>
        <w:lvlRestart w:val="0"/>
        <w:lvlText w:val="%2.%3."/>
        <w:lvlJc w:val="left"/>
        <w:pPr>
          <w:ind w:left="340" w:firstLine="11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9">
    <w:abstractNumId w:val="4"/>
  </w:num>
  <w:num w:numId="10">
    <w:abstractNumId w:val="10"/>
  </w:num>
  <w:num w:numId="11">
    <w:abstractNumId w:val="8"/>
    <w:lvlOverride w:ilvl="0">
      <w:lvl w:ilvl="0">
        <w:start w:val="1"/>
        <w:numFmt w:val="none"/>
        <w:suff w:val="nothing"/>
        <w:lvlText w:val="%1"/>
        <w:lvlJc w:val="left"/>
        <w:pPr>
          <w:ind w:left="0" w:firstLine="0"/>
        </w:pPr>
        <w:rPr>
          <w:rFonts w:hint="default"/>
        </w:rPr>
      </w:lvl>
    </w:lvlOverride>
    <w:lvlOverride w:ilvl="1">
      <w:lvl w:ilvl="1">
        <w:start w:val="2"/>
        <w:numFmt w:val="upperRoman"/>
        <w:lvlRestart w:val="0"/>
        <w:lvlText w:val="%2."/>
        <w:lvlJc w:val="left"/>
        <w:pPr>
          <w:ind w:left="170" w:firstLine="57"/>
        </w:pPr>
        <w:rPr>
          <w:rFonts w:hint="default"/>
        </w:rPr>
      </w:lvl>
    </w:lvlOverride>
    <w:lvlOverride w:ilvl="2">
      <w:lvl w:ilvl="2">
        <w:start w:val="1"/>
        <w:numFmt w:val="decimal"/>
        <w:lvlText w:val="%2.%3."/>
        <w:lvlJc w:val="left"/>
        <w:pPr>
          <w:ind w:left="340" w:firstLine="11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3"/>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FC4"/>
    <w:rsid w:val="000272EF"/>
    <w:rsid w:val="00041503"/>
    <w:rsid w:val="000658BC"/>
    <w:rsid w:val="00096027"/>
    <w:rsid w:val="000C2DBE"/>
    <w:rsid w:val="000D747A"/>
    <w:rsid w:val="00103266"/>
    <w:rsid w:val="001059EC"/>
    <w:rsid w:val="00126740"/>
    <w:rsid w:val="0013720F"/>
    <w:rsid w:val="00165977"/>
    <w:rsid w:val="00191A61"/>
    <w:rsid w:val="001C22B7"/>
    <w:rsid w:val="001D032F"/>
    <w:rsid w:val="00200D7E"/>
    <w:rsid w:val="00221BD1"/>
    <w:rsid w:val="00260DAF"/>
    <w:rsid w:val="002B5369"/>
    <w:rsid w:val="003159E5"/>
    <w:rsid w:val="00447524"/>
    <w:rsid w:val="00453928"/>
    <w:rsid w:val="00466089"/>
    <w:rsid w:val="004B1383"/>
    <w:rsid w:val="004F49DB"/>
    <w:rsid w:val="005013C9"/>
    <w:rsid w:val="005358C1"/>
    <w:rsid w:val="005942F6"/>
    <w:rsid w:val="005A60EF"/>
    <w:rsid w:val="005B5C4E"/>
    <w:rsid w:val="00610E22"/>
    <w:rsid w:val="00614D63"/>
    <w:rsid w:val="0062093B"/>
    <w:rsid w:val="00620C3D"/>
    <w:rsid w:val="006303F4"/>
    <w:rsid w:val="00646919"/>
    <w:rsid w:val="00680103"/>
    <w:rsid w:val="006C23D2"/>
    <w:rsid w:val="006C2D13"/>
    <w:rsid w:val="006F243C"/>
    <w:rsid w:val="00712C2C"/>
    <w:rsid w:val="0072740D"/>
    <w:rsid w:val="00727D64"/>
    <w:rsid w:val="0073487E"/>
    <w:rsid w:val="007A279C"/>
    <w:rsid w:val="007B30F5"/>
    <w:rsid w:val="007C2253"/>
    <w:rsid w:val="007F538B"/>
    <w:rsid w:val="008622C3"/>
    <w:rsid w:val="00880491"/>
    <w:rsid w:val="008B1A8C"/>
    <w:rsid w:val="008D1425"/>
    <w:rsid w:val="008E7CAD"/>
    <w:rsid w:val="00945D66"/>
    <w:rsid w:val="0096504D"/>
    <w:rsid w:val="009C6181"/>
    <w:rsid w:val="009E0E51"/>
    <w:rsid w:val="009F3546"/>
    <w:rsid w:val="00A12DEE"/>
    <w:rsid w:val="00A55236"/>
    <w:rsid w:val="00AA412D"/>
    <w:rsid w:val="00AC2410"/>
    <w:rsid w:val="00AC626D"/>
    <w:rsid w:val="00B34E8D"/>
    <w:rsid w:val="00B47A0B"/>
    <w:rsid w:val="00B61A57"/>
    <w:rsid w:val="00B962FA"/>
    <w:rsid w:val="00BB375C"/>
    <w:rsid w:val="00BC4A98"/>
    <w:rsid w:val="00BE4B1C"/>
    <w:rsid w:val="00C44E99"/>
    <w:rsid w:val="00C6629D"/>
    <w:rsid w:val="00C76E12"/>
    <w:rsid w:val="00C8682E"/>
    <w:rsid w:val="00C9075F"/>
    <w:rsid w:val="00CA206C"/>
    <w:rsid w:val="00CB68E7"/>
    <w:rsid w:val="00CD3632"/>
    <w:rsid w:val="00CE2D6F"/>
    <w:rsid w:val="00D313D1"/>
    <w:rsid w:val="00D977A6"/>
    <w:rsid w:val="00DD7E1C"/>
    <w:rsid w:val="00DE32A5"/>
    <w:rsid w:val="00DF063A"/>
    <w:rsid w:val="00DF5FC4"/>
    <w:rsid w:val="00E0215A"/>
    <w:rsid w:val="00E36DD2"/>
    <w:rsid w:val="00E660BC"/>
    <w:rsid w:val="00E66A4D"/>
    <w:rsid w:val="00E84AE5"/>
    <w:rsid w:val="00EA13AB"/>
    <w:rsid w:val="00EF17A6"/>
    <w:rsid w:val="00EF5065"/>
    <w:rsid w:val="00EF6589"/>
    <w:rsid w:val="00F36BB8"/>
    <w:rsid w:val="00F453C4"/>
    <w:rsid w:val="00F53E0B"/>
    <w:rsid w:val="00FC0D60"/>
    <w:rsid w:val="00FE00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2A65D-0D71-4D8E-98AC-88ABCA7CB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next w:val="Normal"/>
    <w:link w:val="Titre3Car"/>
    <w:uiPriority w:val="9"/>
    <w:unhideWhenUsed/>
    <w:qFormat/>
    <w:rsid w:val="0004150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F6589"/>
    <w:pPr>
      <w:ind w:left="720"/>
      <w:contextualSpacing/>
    </w:pPr>
  </w:style>
  <w:style w:type="paragraph" w:styleId="Lgende">
    <w:name w:val="caption"/>
    <w:basedOn w:val="Normal"/>
    <w:next w:val="Normal"/>
    <w:uiPriority w:val="35"/>
    <w:unhideWhenUsed/>
    <w:qFormat/>
    <w:rsid w:val="00A55236"/>
    <w:pPr>
      <w:spacing w:after="200" w:line="240" w:lineRule="auto"/>
    </w:pPr>
    <w:rPr>
      <w:i/>
      <w:iCs/>
      <w:color w:val="44546A" w:themeColor="text2"/>
      <w:sz w:val="18"/>
      <w:szCs w:val="18"/>
    </w:rPr>
  </w:style>
  <w:style w:type="character" w:customStyle="1" w:styleId="Titre3Car">
    <w:name w:val="Titre 3 Car"/>
    <w:basedOn w:val="Policepardfaut"/>
    <w:link w:val="Titre3"/>
    <w:uiPriority w:val="9"/>
    <w:rsid w:val="00041503"/>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DD7E1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A12DEE"/>
    <w:pPr>
      <w:tabs>
        <w:tab w:val="center" w:pos="4536"/>
        <w:tab w:val="right" w:pos="9072"/>
      </w:tabs>
      <w:spacing w:after="0" w:line="240" w:lineRule="auto"/>
    </w:pPr>
  </w:style>
  <w:style w:type="character" w:customStyle="1" w:styleId="En-tteCar">
    <w:name w:val="En-tête Car"/>
    <w:basedOn w:val="Policepardfaut"/>
    <w:link w:val="En-tte"/>
    <w:uiPriority w:val="99"/>
    <w:rsid w:val="00A12DEE"/>
  </w:style>
  <w:style w:type="paragraph" w:styleId="Pieddepage">
    <w:name w:val="footer"/>
    <w:basedOn w:val="Normal"/>
    <w:link w:val="PieddepageCar"/>
    <w:uiPriority w:val="99"/>
    <w:unhideWhenUsed/>
    <w:rsid w:val="00A12D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12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627845">
      <w:bodyDiv w:val="1"/>
      <w:marLeft w:val="0"/>
      <w:marRight w:val="0"/>
      <w:marTop w:val="0"/>
      <w:marBottom w:val="0"/>
      <w:divBdr>
        <w:top w:val="none" w:sz="0" w:space="0" w:color="auto"/>
        <w:left w:val="none" w:sz="0" w:space="0" w:color="auto"/>
        <w:bottom w:val="none" w:sz="0" w:space="0" w:color="auto"/>
        <w:right w:val="none" w:sz="0" w:space="0" w:color="auto"/>
      </w:divBdr>
    </w:div>
    <w:div w:id="1899395542">
      <w:bodyDiv w:val="1"/>
      <w:marLeft w:val="0"/>
      <w:marRight w:val="0"/>
      <w:marTop w:val="0"/>
      <w:marBottom w:val="0"/>
      <w:divBdr>
        <w:top w:val="none" w:sz="0" w:space="0" w:color="auto"/>
        <w:left w:val="none" w:sz="0" w:space="0" w:color="auto"/>
        <w:bottom w:val="none" w:sz="0" w:space="0" w:color="auto"/>
        <w:right w:val="none" w:sz="0" w:space="0" w:color="auto"/>
      </w:divBdr>
    </w:div>
    <w:div w:id="1969315247">
      <w:bodyDiv w:val="1"/>
      <w:marLeft w:val="0"/>
      <w:marRight w:val="0"/>
      <w:marTop w:val="0"/>
      <w:marBottom w:val="0"/>
      <w:divBdr>
        <w:top w:val="none" w:sz="0" w:space="0" w:color="auto"/>
        <w:left w:val="none" w:sz="0" w:space="0" w:color="auto"/>
        <w:bottom w:val="none" w:sz="0" w:space="0" w:color="auto"/>
        <w:right w:val="none" w:sz="0" w:space="0" w:color="auto"/>
      </w:divBdr>
    </w:div>
    <w:div w:id="201884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F:\Loi%20travail\Sttq%202023\T1%202023\DR%202022%20sstq%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Feuille_de_calcul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Feuille_de_calcul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Feuille_de_calcul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Feuille_de_calcul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Feuille_de_calcul_Microsoft_Excel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Feuille_de_calcul_Microsoft_Excel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Feuille_de_calcul_Microsoft_Excel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Feuille_de_calcul_Microsoft_Excel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Feuille_de_calcul_Microsoft_Excel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Feuille_de_calcul_Microsoft_Excel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euille_de_calcul_Microsoft_Excel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Feuille_de_calcul_Microsoft_Excel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Feuille_de_calcul_Microsoft_Excel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Feuille_de_calcul_Microsoft_Excel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Feuille_de_calcul_Microsoft_Excel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Feuille_de_calcul_Microsoft_Excel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Feuille_de_calcul_Microsoft_Excel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Feuille_de_calcul_Microsoft_Excel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Feuille_de_calcul_Microsoft_Excel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Feuille_de_calcul_Microsoft_Excel27.xlsx"/></Relationships>
</file>

<file path=word/charts/_rels/chart29.xml.rels><?xml version="1.0" encoding="UTF-8" standalone="yes"?>
<Relationships xmlns="http://schemas.openxmlformats.org/package/2006/relationships"><Relationship Id="rId3" Type="http://schemas.openxmlformats.org/officeDocument/2006/relationships/oleObject" Target="file:///F:\Loi%20travail\Sttq%202023\T1%202023\DR%202022%20sstq%202.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Feuille_de_calcul_Microsoft_Excel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Feuille_de_calcul_Microsoft_Excel28.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Feuille_de_calcul_Microsoft_Excel29.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Feuille_de_calcul_Microsoft_Excel30.xlsx"/></Relationships>
</file>

<file path=word/charts/_rels/chart33.xml.rels><?xml version="1.0" encoding="UTF-8" standalone="yes"?>
<Relationships xmlns="http://schemas.openxmlformats.org/package/2006/relationships"><Relationship Id="rId3" Type="http://schemas.openxmlformats.org/officeDocument/2006/relationships/package" Target="../embeddings/Feuille_de_calcul_Microsoft_Excel31.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Feuille_de_calcul_Microsoft_Excel32.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Feuille_de_calcul_Microsoft_Excel33.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Feuille_de_calcul_Microsoft_Excel34.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Feuille_de_calcul_Microsoft_Excel35.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Feuille_de_calcul_Microsoft_Excel36.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Feuille_de_calcul_Microsoft_Excel37.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Feuille_de_calcul_Microsoft_Excel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Feuille_de_calcul_Microsoft_Excel38.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Feuille_de_calcul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Feuille_de_calcul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Feuille_de_calcul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Feuille_de_calcul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Feuille_de_calcul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5.5241682360326429E-2"/>
              <c:y val="0.1111111111111111"/>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5.2730696798493501E-2"/>
              <c:y val="-0.10185185185185185"/>
            </c:manualLayout>
          </c:layout>
          <c:showLegendKey val="0"/>
          <c:showVal val="0"/>
          <c:showCatName val="1"/>
          <c:showSerName val="0"/>
          <c:showPercent val="1"/>
          <c:showBubbleSize val="0"/>
          <c:extLst>
            <c:ext xmlns:c15="http://schemas.microsoft.com/office/drawing/2012/chart" uri="{CE6537A1-D6FC-4f65-9D91-7224C49458BB}"/>
          </c:extLst>
        </c:dLbl>
      </c:pivotFmt>
      <c:pivotFmt>
        <c:idx val="19"/>
        <c:dLbl>
          <c:idx val="0"/>
          <c:layout>
            <c:manualLayout>
              <c:x val="-0.19334588826114255"/>
              <c:y val="-6.944444444444446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0"/>
        <c:dLbl>
          <c:idx val="0"/>
          <c:layout>
            <c:manualLayout>
              <c:x val="2.2598870056497175E-2"/>
              <c:y val="-9.259259259259260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1"/>
        <c:dLbl>
          <c:idx val="0"/>
          <c:layout>
            <c:manualLayout>
              <c:x val="-5.5241682360326477E-2"/>
              <c:y val="-6.01851851851852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dLbl>
          <c:idx val="0"/>
          <c:showLegendKey val="0"/>
          <c:showVal val="0"/>
          <c:showCatName val="1"/>
          <c:showSerName val="0"/>
          <c:showPercent val="1"/>
          <c:showBubbleSize val="0"/>
          <c:extLst>
            <c:ext xmlns:c15="http://schemas.microsoft.com/office/drawing/2012/chart" uri="{CE6537A1-D6FC-4f65-9D91-7224C49458BB}"/>
          </c:extLst>
        </c:dLbl>
      </c:pivotFmt>
      <c:pivotFmt>
        <c:idx val="24"/>
        <c:dLbl>
          <c:idx val="0"/>
          <c:layout>
            <c:manualLayout>
              <c:x val="-4.294071998062389E-2"/>
              <c:y val="-6.2936351706036744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5"/>
        <c:dLbl>
          <c:idx val="0"/>
          <c:showLegendKey val="0"/>
          <c:showVal val="0"/>
          <c:showCatName val="1"/>
          <c:showSerName val="0"/>
          <c:showPercent val="1"/>
          <c:showBubbleSize val="0"/>
          <c:extLst>
            <c:ext xmlns:c15="http://schemas.microsoft.com/office/drawing/2012/chart" uri="{CE6537A1-D6FC-4f65-9D91-7224C49458BB}"/>
          </c:extLst>
        </c:dLbl>
      </c:pivotFmt>
      <c:pivotFmt>
        <c:idx val="26"/>
        <c:dLbl>
          <c:idx val="0"/>
          <c:showLegendKey val="0"/>
          <c:showVal val="1"/>
          <c:showCatName val="0"/>
          <c:showSerName val="0"/>
          <c:showPercent val="0"/>
          <c:showBubbleSize val="0"/>
          <c:extLst>
            <c:ext xmlns:c15="http://schemas.microsoft.com/office/drawing/2012/chart" uri="{CE6537A1-D6FC-4f65-9D91-7224C49458BB}"/>
          </c:extLst>
        </c:dLbl>
      </c:pivotFmt>
      <c:pivotFmt>
        <c:idx val="27"/>
        <c:dLbl>
          <c:idx val="0"/>
          <c:showLegendKey val="0"/>
          <c:showVal val="1"/>
          <c:showCatName val="0"/>
          <c:showSerName val="0"/>
          <c:showPercent val="0"/>
          <c:showBubbleSize val="0"/>
          <c:extLst>
            <c:ext xmlns:c15="http://schemas.microsoft.com/office/drawing/2012/chart" uri="{CE6537A1-D6FC-4f65-9D91-7224C49458BB}"/>
          </c:extLst>
        </c:dLbl>
      </c:pivotFmt>
      <c:pivotFmt>
        <c:idx val="28"/>
        <c:dLbl>
          <c:idx val="0"/>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4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41"/>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3"/>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4"/>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5"/>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7"/>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8"/>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9"/>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5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5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5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5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5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5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5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5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5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6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7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7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7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Feuil3!$B$1</c:f>
              <c:strCache>
                <c:ptCount val="1"/>
                <c:pt idx="0">
                  <c:v>Total</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F0"/>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154</c:v>
                </c:pt>
                <c:pt idx="1">
                  <c:v>17</c:v>
                </c:pt>
                <c:pt idx="3">
                  <c:v>11</c:v>
                </c:pt>
                <c:pt idx="5">
                  <c:v>20</c:v>
                </c:pt>
                <c:pt idx="6">
                  <c:v>54</c:v>
                </c:pt>
                <c:pt idx="7">
                  <c:v>216</c:v>
                </c:pt>
                <c:pt idx="8">
                  <c:v>51</c:v>
                </c:pt>
                <c:pt idx="9">
                  <c:v>74</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spPr>
          <a:solidFill>
            <a:schemeClr val="accent1">
              <a:alpha val="70000"/>
            </a:schemeClr>
          </a:solidFill>
          <a:ln>
            <a:noFill/>
          </a:ln>
          <a:effectLst/>
        </c:spPr>
        <c:marker>
          <c:spPr>
            <a:solidFill>
              <a:schemeClr val="accent1">
                <a:alpha val="70000"/>
              </a:schemeClr>
            </a:solidFill>
            <a:ln>
              <a:noFill/>
            </a:ln>
            <a:effectLst/>
          </c:spPr>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Feuil3!$B$1</c:f>
              <c:strCache>
                <c:ptCount val="1"/>
                <c:pt idx="0">
                  <c:v>Total</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50</c:v>
                </c:pt>
                <c:pt idx="7">
                  <c:v>4</c:v>
                </c:pt>
              </c:numCache>
            </c:numRef>
          </c:val>
        </c:ser>
        <c:dLbls>
          <c:dLblPos val="outEnd"/>
          <c:showLegendKey val="0"/>
          <c:showVal val="1"/>
          <c:showCatName val="0"/>
          <c:showSerName val="0"/>
          <c:showPercent val="0"/>
          <c:showBubbleSize val="0"/>
        </c:dLbls>
        <c:gapWidth val="80"/>
        <c:overlap val="25"/>
        <c:axId val="739353128"/>
        <c:axId val="503863344"/>
      </c:barChart>
      <c:catAx>
        <c:axId val="7393531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fr-FR"/>
          </a:p>
        </c:txPr>
        <c:crossAx val="503863344"/>
        <c:crosses val="autoZero"/>
        <c:auto val="1"/>
        <c:lblAlgn val="ctr"/>
        <c:lblOffset val="100"/>
        <c:noMultiLvlLbl val="0"/>
      </c:catAx>
      <c:valAx>
        <c:axId val="50386334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fr-FR"/>
          </a:p>
        </c:txPr>
        <c:crossAx val="7393531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5.5241682360326429E-2"/>
              <c:y val="0.1111111111111111"/>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5.2730696798493501E-2"/>
              <c:y val="-0.10185185185185185"/>
            </c:manualLayout>
          </c:layout>
          <c:showLegendKey val="0"/>
          <c:showVal val="0"/>
          <c:showCatName val="1"/>
          <c:showSerName val="0"/>
          <c:showPercent val="1"/>
          <c:showBubbleSize val="0"/>
          <c:extLst>
            <c:ext xmlns:c15="http://schemas.microsoft.com/office/drawing/2012/chart" uri="{CE6537A1-D6FC-4f65-9D91-7224C49458BB}"/>
          </c:extLst>
        </c:dLbl>
      </c:pivotFmt>
      <c:pivotFmt>
        <c:idx val="19"/>
        <c:dLbl>
          <c:idx val="0"/>
          <c:layout>
            <c:manualLayout>
              <c:x val="-0.19334588826114255"/>
              <c:y val="-6.944444444444446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0"/>
        <c:dLbl>
          <c:idx val="0"/>
          <c:layout>
            <c:manualLayout>
              <c:x val="2.2598870056497175E-2"/>
              <c:y val="-9.259259259259260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1"/>
        <c:dLbl>
          <c:idx val="0"/>
          <c:layout>
            <c:manualLayout>
              <c:x val="-5.5241682360326477E-2"/>
              <c:y val="-6.01851851851852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dLbl>
          <c:idx val="0"/>
          <c:showLegendKey val="0"/>
          <c:showVal val="0"/>
          <c:showCatName val="1"/>
          <c:showSerName val="0"/>
          <c:showPercent val="1"/>
          <c:showBubbleSize val="0"/>
          <c:extLst>
            <c:ext xmlns:c15="http://schemas.microsoft.com/office/drawing/2012/chart" uri="{CE6537A1-D6FC-4f65-9D91-7224C49458BB}"/>
          </c:extLst>
        </c:dLbl>
      </c:pivotFmt>
      <c:pivotFmt>
        <c:idx val="24"/>
        <c:dLbl>
          <c:idx val="0"/>
          <c:layout>
            <c:manualLayout>
              <c:x val="-4.294071998062389E-2"/>
              <c:y val="-6.2936351706036744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5"/>
        <c:dLbl>
          <c:idx val="0"/>
          <c:showLegendKey val="0"/>
          <c:showVal val="0"/>
          <c:showCatName val="1"/>
          <c:showSerName val="0"/>
          <c:showPercent val="1"/>
          <c:showBubbleSize val="0"/>
          <c:extLst>
            <c:ext xmlns:c15="http://schemas.microsoft.com/office/drawing/2012/chart" uri="{CE6537A1-D6FC-4f65-9D91-7224C49458BB}"/>
          </c:extLst>
        </c:dLbl>
      </c:pivotFmt>
      <c:pivotFmt>
        <c:idx val="26"/>
        <c:dLbl>
          <c:idx val="0"/>
          <c:showLegendKey val="0"/>
          <c:showVal val="1"/>
          <c:showCatName val="0"/>
          <c:showSerName val="0"/>
          <c:showPercent val="0"/>
          <c:showBubbleSize val="0"/>
          <c:extLst>
            <c:ext xmlns:c15="http://schemas.microsoft.com/office/drawing/2012/chart" uri="{CE6537A1-D6FC-4f65-9D91-7224C49458BB}"/>
          </c:extLst>
        </c:dLbl>
      </c:pivotFmt>
      <c:pivotFmt>
        <c:idx val="27"/>
        <c:dLbl>
          <c:idx val="0"/>
          <c:showLegendKey val="0"/>
          <c:showVal val="1"/>
          <c:showCatName val="0"/>
          <c:showSerName val="0"/>
          <c:showPercent val="0"/>
          <c:showBubbleSize val="0"/>
          <c:extLst>
            <c:ext xmlns:c15="http://schemas.microsoft.com/office/drawing/2012/chart" uri="{CE6537A1-D6FC-4f65-9D91-7224C49458BB}"/>
          </c:extLst>
        </c:dLbl>
      </c:pivotFmt>
      <c:pivotFmt>
        <c:idx val="28"/>
        <c:dLbl>
          <c:idx val="0"/>
          <c:showLegendKey val="0"/>
          <c:showVal val="1"/>
          <c:showCatName val="0"/>
          <c:showSerName val="0"/>
          <c:showPercent val="0"/>
          <c:showBubbleSize val="0"/>
          <c:extLst>
            <c:ext xmlns:c15="http://schemas.microsoft.com/office/drawing/2012/chart" uri="{CE6537A1-D6FC-4f65-9D91-7224C49458BB}"/>
          </c:extLst>
        </c:dLbl>
      </c:pivotFmt>
      <c:pivotFmt>
        <c:idx val="29"/>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0"/>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1"/>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2"/>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3"/>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4"/>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5"/>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6"/>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7"/>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8"/>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9"/>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4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52"/>
      </c:pivotFmt>
      <c:pivotFmt>
        <c:idx val="53"/>
      </c:pivotFmt>
      <c:pivotFmt>
        <c:idx val="54"/>
      </c:pivotFmt>
      <c:pivotFmt>
        <c:idx val="55"/>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56"/>
      </c:pivotFmt>
      <c:pivotFmt>
        <c:idx val="57"/>
      </c:pivotFmt>
      <c:pivotFmt>
        <c:idx val="58"/>
      </c:pivotFmt>
      <c:pivotFmt>
        <c:idx val="59"/>
      </c:pivotFmt>
      <c:pivotFmt>
        <c:idx val="60"/>
      </c:pivotFmt>
      <c:pivotFmt>
        <c:idx val="61"/>
      </c:pivotFmt>
      <c:pivotFmt>
        <c:idx val="6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Feuil3!$B$1</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4</c:v>
                </c:pt>
                <c:pt idx="4">
                  <c:v>1</c:v>
                </c:pt>
              </c:numCache>
            </c:numRef>
          </c:val>
        </c:ser>
        <c:dLbls>
          <c:dLblPos val="outEnd"/>
          <c:showLegendKey val="0"/>
          <c:showVal val="1"/>
          <c:showCatName val="0"/>
          <c:showSerName val="0"/>
          <c:showPercent val="0"/>
          <c:showBubbleSize val="0"/>
        </c:dLbls>
        <c:gapWidth val="100"/>
        <c:axId val="503867656"/>
        <c:axId val="503868440"/>
      </c:barChart>
      <c:catAx>
        <c:axId val="503867656"/>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3868440"/>
        <c:crosses val="autoZero"/>
        <c:auto val="1"/>
        <c:lblAlgn val="ctr"/>
        <c:lblOffset val="100"/>
        <c:noMultiLvlLbl val="0"/>
      </c:catAx>
      <c:valAx>
        <c:axId val="503868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3867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4"/>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4.884004884004884E-3"/>
              <c:y val="-0.1435185185185185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50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4.884004884004884E-3"/>
              <c:y val="-0.1435185185185185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50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1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2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4.884004884004884E-3"/>
              <c:y val="-0.1435185185185185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50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s>
    <c:plotArea>
      <c:layout/>
      <c:doughnutChart>
        <c:varyColors val="1"/>
        <c:ser>
          <c:idx val="0"/>
          <c:order val="0"/>
          <c:tx>
            <c:strRef>
              <c:f>Feuil3!$B$1</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9"/>
              <c:layout>
                <c:manualLayout>
                  <c:x val="-9.7680097680097722E-2"/>
                  <c:y val="-0.1281532516768737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50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2</c:v>
                </c:pt>
                <c:pt idx="3">
                  <c:v>13</c:v>
                </c:pt>
                <c:pt idx="4">
                  <c:v>1</c:v>
                </c:pt>
                <c:pt idx="7">
                  <c:v>16</c:v>
                </c:pt>
                <c:pt idx="9">
                  <c:v>1</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7"/>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8"/>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9"/>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1"/>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2"/>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3"/>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4"/>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5"/>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7"/>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8"/>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1"/>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2"/>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4"/>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7"/>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8"/>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1"/>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2"/>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4"/>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7"/>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s>
    <c:plotArea>
      <c:layout/>
      <c:pieChart>
        <c:varyColors val="1"/>
        <c:ser>
          <c:idx val="0"/>
          <c:order val="0"/>
          <c:tx>
            <c:strRef>
              <c:f>Feuil3!$B$1</c:f>
              <c:strCache>
                <c:ptCount val="1"/>
                <c:pt idx="0">
                  <c:v>Total</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dPt>
          <c:dPt>
            <c:idx val="9"/>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1"/>
            <c:showSerName val="0"/>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3</c:v>
                </c:pt>
                <c:pt idx="4">
                  <c:v>3</c:v>
                </c:pt>
                <c:pt idx="7">
                  <c:v>5</c:v>
                </c:pt>
                <c:pt idx="9">
                  <c:v>2</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spPr>
          <a:solidFill>
            <a:schemeClr val="accent1"/>
          </a:solidFill>
          <a:ln w="19050">
            <a:solidFill>
              <a:schemeClr val="lt1"/>
            </a:solid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7"/>
        <c:spPr>
          <a:solidFill>
            <a:schemeClr val="accent2"/>
          </a:solidFill>
          <a:ln w="19050">
            <a:solidFill>
              <a:schemeClr val="lt1"/>
            </a:solidFill>
          </a:ln>
          <a:effectLst/>
        </c:spPr>
        <c:dLbl>
          <c:idx val="0"/>
          <c:layout>
            <c:manualLayout>
              <c:x val="-5.5241682360326429E-2"/>
              <c:y val="0.111111111111111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8"/>
        <c:spPr>
          <a:solidFill>
            <a:schemeClr val="accent2">
              <a:lumMod val="60000"/>
            </a:schemeClr>
          </a:solidFill>
          <a:ln w="19050">
            <a:solidFill>
              <a:schemeClr val="lt1"/>
            </a:solidFill>
          </a:ln>
          <a:effectLst/>
        </c:spPr>
        <c:dLbl>
          <c:idx val="0"/>
          <c:layout>
            <c:manualLayout>
              <c:x val="-5.2730696798493501E-2"/>
              <c:y val="-0.1018518518518518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9"/>
        <c:spPr>
          <a:solidFill>
            <a:schemeClr val="accent5"/>
          </a:solidFill>
          <a:ln w="19050">
            <a:solidFill>
              <a:schemeClr val="lt1"/>
            </a:solidFill>
          </a:ln>
          <a:effectLst/>
        </c:spPr>
        <c:dLbl>
          <c:idx val="0"/>
          <c:layout>
            <c:manualLayout>
              <c:x val="-0.19334588826114255"/>
              <c:y val="-6.944444444444446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w="19050">
            <a:solidFill>
              <a:schemeClr val="lt1"/>
            </a:solidFill>
          </a:ln>
          <a:effectLst/>
        </c:spPr>
        <c:dLbl>
          <c:idx val="0"/>
          <c:layout>
            <c:manualLayout>
              <c:x val="2.2598870056497175E-2"/>
              <c:y val="-9.259259259259260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3"/>
          </a:solidFill>
          <a:ln w="19050">
            <a:solidFill>
              <a:schemeClr val="lt1"/>
            </a:solidFill>
          </a:ln>
          <a:effectLst/>
        </c:spPr>
        <c:dLbl>
          <c:idx val="0"/>
          <c:layout>
            <c:manualLayout>
              <c:x val="-5.5241682360326477E-2"/>
              <c:y val="-6.01851851851852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w="19050">
            <a:solidFill>
              <a:schemeClr val="lt1"/>
            </a:solidFill>
          </a:ln>
          <a:effectLst/>
        </c:spPr>
        <c:dLbl>
          <c:idx val="0"/>
          <c:layout>
            <c:manualLayout>
              <c:x val="2.2598870056497175E-2"/>
              <c:y val="-9.259259259259260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9050">
            <a:solidFill>
              <a:schemeClr val="lt1"/>
            </a:solidFill>
          </a:ln>
          <a:effectLst/>
        </c:spPr>
        <c:dLbl>
          <c:idx val="0"/>
          <c:layout>
            <c:manualLayout>
              <c:x val="-5.5241682360326429E-2"/>
              <c:y val="0.111111111111111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5"/>
        <c:spPr>
          <a:solidFill>
            <a:schemeClr val="accent1"/>
          </a:solidFill>
          <a:ln w="19050">
            <a:solidFill>
              <a:schemeClr val="lt1"/>
            </a:solidFill>
          </a:ln>
          <a:effectLst/>
        </c:spPr>
        <c:dLbl>
          <c:idx val="0"/>
          <c:layout>
            <c:manualLayout>
              <c:x val="-5.5241682360326477E-2"/>
              <c:y val="-6.01851851851852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6"/>
        <c:spPr>
          <a:solidFill>
            <a:schemeClr val="accent1"/>
          </a:solidFill>
          <a:ln w="19050">
            <a:solidFill>
              <a:schemeClr val="lt1"/>
            </a:solidFill>
          </a:ln>
          <a:effectLst/>
        </c:spPr>
      </c:pivotFmt>
      <c:pivotFmt>
        <c:idx val="27"/>
        <c:spPr>
          <a:solidFill>
            <a:schemeClr val="accent1"/>
          </a:solidFill>
          <a:ln w="19050">
            <a:solidFill>
              <a:schemeClr val="lt1"/>
            </a:solidFill>
          </a:ln>
          <a:effectLst/>
        </c:spPr>
        <c:dLbl>
          <c:idx val="0"/>
          <c:layout>
            <c:manualLayout>
              <c:x val="-0.19334588826114255"/>
              <c:y val="-6.944444444444446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8"/>
        <c:spPr>
          <a:solidFill>
            <a:schemeClr val="accent1"/>
          </a:solidFill>
          <a:ln w="19050">
            <a:solidFill>
              <a:schemeClr val="lt1"/>
            </a:solidFill>
          </a:ln>
          <a:effectLst/>
        </c:spPr>
      </c:pivotFmt>
      <c:pivotFmt>
        <c:idx val="29"/>
        <c:spPr>
          <a:solidFill>
            <a:schemeClr val="accent1"/>
          </a:solidFill>
          <a:ln w="19050">
            <a:solidFill>
              <a:schemeClr val="lt1"/>
            </a:solidFill>
          </a:ln>
          <a:effectLst/>
        </c:spPr>
      </c:pivotFmt>
      <c:pivotFmt>
        <c:idx val="30"/>
        <c:spPr>
          <a:solidFill>
            <a:schemeClr val="accent1"/>
          </a:solidFill>
          <a:ln w="19050">
            <a:solidFill>
              <a:schemeClr val="lt1"/>
            </a:solidFill>
          </a:ln>
          <a:effectLst/>
        </c:spPr>
        <c:dLbl>
          <c:idx val="0"/>
          <c:layout>
            <c:manualLayout>
              <c:x val="-5.2730696798493501E-2"/>
              <c:y val="-0.1018518518518518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1"/>
        <c:spPr>
          <a:solidFill>
            <a:schemeClr val="accent1"/>
          </a:solidFill>
          <a:ln w="19050">
            <a:solidFill>
              <a:schemeClr val="lt1"/>
            </a:solidFill>
          </a:ln>
          <a:effectLst/>
        </c:spPr>
      </c:pivotFmt>
      <c:pivotFmt>
        <c:idx val="32"/>
        <c:spPr>
          <a:solidFill>
            <a:schemeClr val="accent1"/>
          </a:solidFill>
          <a:ln w="19050">
            <a:solidFill>
              <a:schemeClr val="lt1"/>
            </a:solidFill>
          </a:ln>
          <a:effectLst/>
        </c:spPr>
      </c:pivotFmt>
      <c:pivotFmt>
        <c:idx val="33"/>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4"/>
        <c:spPr>
          <a:solidFill>
            <a:schemeClr val="accent1"/>
          </a:solidFill>
          <a:ln w="19050">
            <a:solidFill>
              <a:schemeClr val="lt1"/>
            </a:solidFill>
          </a:ln>
          <a:effectLst/>
        </c:spPr>
        <c:dLbl>
          <c:idx val="0"/>
          <c:layout>
            <c:manualLayout>
              <c:x val="2.2598870056497175E-2"/>
              <c:y val="-9.259259259259260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5"/>
        <c:spPr>
          <a:solidFill>
            <a:schemeClr val="accent1"/>
          </a:solidFill>
          <a:ln w="19050">
            <a:solidFill>
              <a:schemeClr val="lt1"/>
            </a:solidFill>
          </a:ln>
          <a:effectLst/>
        </c:spPr>
        <c:dLbl>
          <c:idx val="0"/>
          <c:layout>
            <c:manualLayout>
              <c:x val="-5.5241682360326429E-2"/>
              <c:y val="0.111111111111111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6"/>
        <c:spPr>
          <a:solidFill>
            <a:schemeClr val="accent1"/>
          </a:solidFill>
          <a:ln w="19050">
            <a:solidFill>
              <a:schemeClr val="lt1"/>
            </a:solidFill>
          </a:ln>
          <a:effectLst/>
        </c:spPr>
        <c:dLbl>
          <c:idx val="0"/>
          <c:layout>
            <c:manualLayout>
              <c:x val="-5.5241682360326477E-2"/>
              <c:y val="-6.01851851851852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7"/>
        <c:spPr>
          <a:solidFill>
            <a:schemeClr val="accent1"/>
          </a:solidFill>
          <a:ln w="19050">
            <a:solidFill>
              <a:schemeClr val="lt1"/>
            </a:solidFill>
          </a:ln>
          <a:effectLst/>
        </c:spPr>
      </c:pivotFmt>
      <c:pivotFmt>
        <c:idx val="38"/>
        <c:spPr>
          <a:solidFill>
            <a:schemeClr val="accent1"/>
          </a:solidFill>
          <a:ln w="19050">
            <a:solidFill>
              <a:schemeClr val="lt1"/>
            </a:solidFill>
          </a:ln>
          <a:effectLst/>
        </c:spPr>
        <c:dLbl>
          <c:idx val="0"/>
          <c:layout>
            <c:manualLayout>
              <c:x val="-0.19334588826114255"/>
              <c:y val="-6.944444444444446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9"/>
        <c:spPr>
          <a:solidFill>
            <a:schemeClr val="accent1"/>
          </a:solidFill>
          <a:ln w="19050">
            <a:solidFill>
              <a:schemeClr val="lt1"/>
            </a:solidFill>
          </a:ln>
          <a:effectLst/>
        </c:spPr>
      </c:pivotFmt>
      <c:pivotFmt>
        <c:idx val="40"/>
        <c:spPr>
          <a:solidFill>
            <a:schemeClr val="accent1"/>
          </a:solidFill>
          <a:ln w="19050">
            <a:solidFill>
              <a:schemeClr val="lt1"/>
            </a:solidFill>
          </a:ln>
          <a:effectLst/>
        </c:spPr>
      </c:pivotFmt>
      <c:pivotFmt>
        <c:idx val="41"/>
        <c:spPr>
          <a:solidFill>
            <a:schemeClr val="accent1"/>
          </a:solidFill>
          <a:ln w="19050">
            <a:solidFill>
              <a:schemeClr val="lt1"/>
            </a:solidFill>
          </a:ln>
          <a:effectLst/>
        </c:spPr>
        <c:dLbl>
          <c:idx val="0"/>
          <c:layout>
            <c:manualLayout>
              <c:x val="-5.2730696798493501E-2"/>
              <c:y val="-0.1018518518518518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42"/>
        <c:spPr>
          <a:solidFill>
            <a:schemeClr val="accent1"/>
          </a:solidFill>
          <a:ln w="19050">
            <a:solidFill>
              <a:schemeClr val="lt1"/>
            </a:solidFill>
          </a:ln>
          <a:effectLst/>
        </c:spPr>
      </c:pivotFmt>
      <c:pivotFmt>
        <c:idx val="43"/>
        <c:spPr>
          <a:solidFill>
            <a:schemeClr val="accent1"/>
          </a:solidFill>
          <a:ln w="19050">
            <a:solidFill>
              <a:schemeClr val="lt1"/>
            </a:solidFill>
          </a:ln>
          <a:effectLst/>
        </c:spPr>
      </c:pivotFmt>
    </c:pivotFmts>
    <c:plotArea>
      <c:layout/>
      <c:doughnutChart>
        <c:varyColors val="1"/>
        <c:ser>
          <c:idx val="0"/>
          <c:order val="0"/>
          <c:tx>
            <c:strRef>
              <c:f>Feuil3!$B$1</c:f>
              <c:strCache>
                <c:ptCount val="1"/>
                <c:pt idx="0">
                  <c:v>Total</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dLbl>
              <c:idx val="0"/>
              <c:layout>
                <c:manualLayout>
                  <c:x val="2.2598870056497175E-2"/>
                  <c:y val="-9.2592592592592601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5.5241682360326429E-2"/>
                  <c:y val="0.1111111111111111"/>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5.5241682360326477E-2"/>
                  <c:y val="-6.018518518518521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19334588826114255"/>
                  <c:y val="-6.9444444444444461E-2"/>
                </c:manualLayout>
              </c:layout>
              <c:showLegendKey val="0"/>
              <c:showVal val="0"/>
              <c:showCatName val="1"/>
              <c:showSerName val="0"/>
              <c:showPercent val="1"/>
              <c:showBubbleSize val="0"/>
              <c:extLst>
                <c:ext xmlns:c15="http://schemas.microsoft.com/office/drawing/2012/chart" uri="{CE6537A1-D6FC-4f65-9D91-7224C49458BB}"/>
              </c:extLst>
            </c:dLbl>
            <c:dLbl>
              <c:idx val="7"/>
              <c:layout>
                <c:manualLayout>
                  <c:x val="-5.2730696798493501E-2"/>
                  <c:y val="-0.10185185185185185"/>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2</c:v>
                </c:pt>
                <c:pt idx="1">
                  <c:v>40</c:v>
                </c:pt>
                <c:pt idx="2">
                  <c:v>7</c:v>
                </c:pt>
                <c:pt idx="7">
                  <c:v>1</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5.5241682360326429E-2"/>
              <c:y val="0.1111111111111111"/>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5.2730696798493501E-2"/>
              <c:y val="-0.10185185185185185"/>
            </c:manualLayout>
          </c:layout>
          <c:showLegendKey val="0"/>
          <c:showVal val="0"/>
          <c:showCatName val="1"/>
          <c:showSerName val="0"/>
          <c:showPercent val="1"/>
          <c:showBubbleSize val="0"/>
          <c:extLst>
            <c:ext xmlns:c15="http://schemas.microsoft.com/office/drawing/2012/chart" uri="{CE6537A1-D6FC-4f65-9D91-7224C49458BB}"/>
          </c:extLst>
        </c:dLbl>
      </c:pivotFmt>
      <c:pivotFmt>
        <c:idx val="19"/>
        <c:dLbl>
          <c:idx val="0"/>
          <c:layout>
            <c:manualLayout>
              <c:x val="-0.19334588826114255"/>
              <c:y val="-6.944444444444446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0"/>
        <c:dLbl>
          <c:idx val="0"/>
          <c:layout>
            <c:manualLayout>
              <c:x val="2.2598870056497175E-2"/>
              <c:y val="-9.259259259259260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1"/>
        <c:dLbl>
          <c:idx val="0"/>
          <c:layout>
            <c:manualLayout>
              <c:x val="-5.5241682360326477E-2"/>
              <c:y val="-6.01851851851852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alpha val="85000"/>
            </a:schemeClr>
          </a:solidFill>
          <a:ln w="9525" cap="flat" cmpd="sng" algn="ctr">
            <a:solidFill>
              <a:schemeClr val="accent1">
                <a:lumMod val="75000"/>
              </a:schemeClr>
            </a:solidFill>
            <a:round/>
          </a:ln>
          <a:effectLst/>
        </c:spPr>
        <c:marker>
          <c:spPr>
            <a:solidFill>
              <a:schemeClr val="accent1">
                <a:alpha val="85000"/>
              </a:schemeClr>
            </a:solidFill>
            <a:ln>
              <a:noFill/>
            </a:ln>
            <a:effectLst/>
          </c:spPr>
        </c:marker>
        <c:dLbl>
          <c:idx val="0"/>
          <c:showLegendKey val="0"/>
          <c:showVal val="0"/>
          <c:showCatName val="1"/>
          <c:showSerName val="0"/>
          <c:showPercent val="1"/>
          <c:showBubbleSize val="0"/>
          <c:extLst>
            <c:ext xmlns:c15="http://schemas.microsoft.com/office/drawing/2012/chart" uri="{CE6537A1-D6FC-4f65-9D91-7224C49458BB}"/>
          </c:extLst>
        </c:dLbl>
      </c:pivotFmt>
      <c:pivotFmt>
        <c:idx val="24"/>
        <c:dLbl>
          <c:idx val="0"/>
          <c:layout>
            <c:manualLayout>
              <c:x val="-4.294071998062389E-2"/>
              <c:y val="-6.2936351706036744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5"/>
        <c:spPr>
          <a:solidFill>
            <a:schemeClr val="accent1">
              <a:alpha val="85000"/>
            </a:schemeClr>
          </a:solidFill>
          <a:ln w="9525" cap="flat" cmpd="sng" algn="ctr">
            <a:solidFill>
              <a:schemeClr val="accent1">
                <a:lumMod val="7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6"/>
        <c:spPr>
          <a:solidFill>
            <a:schemeClr val="accent1">
              <a:alpha val="85000"/>
            </a:schemeClr>
          </a:solidFill>
          <a:ln w="9525" cap="flat" cmpd="sng" algn="ctr">
            <a:solidFill>
              <a:schemeClr val="accent1">
                <a:lumMod val="7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7"/>
        <c:spPr>
          <a:solidFill>
            <a:schemeClr val="accent1">
              <a:alpha val="85000"/>
            </a:schemeClr>
          </a:solidFill>
          <a:ln w="9525" cap="flat" cmpd="sng" algn="ctr">
            <a:solidFill>
              <a:schemeClr val="accent1">
                <a:lumMod val="75000"/>
              </a:schemeClr>
            </a:solidFill>
            <a:round/>
          </a:ln>
          <a:effectLst/>
        </c:spPr>
      </c:pivotFmt>
      <c:pivotFmt>
        <c:idx val="28"/>
        <c:spPr>
          <a:solidFill>
            <a:schemeClr val="accent1">
              <a:alpha val="85000"/>
            </a:schemeClr>
          </a:solidFill>
          <a:ln w="9525" cap="flat" cmpd="sng" algn="ctr">
            <a:solidFill>
              <a:schemeClr val="accent1">
                <a:lumMod val="75000"/>
              </a:schemeClr>
            </a:solidFill>
            <a:round/>
          </a:ln>
          <a:effectLst/>
        </c:spPr>
      </c:pivotFmt>
      <c:pivotFmt>
        <c:idx val="29"/>
        <c:spPr>
          <a:solidFill>
            <a:schemeClr val="accent1">
              <a:alpha val="85000"/>
            </a:schemeClr>
          </a:solidFill>
          <a:ln w="9525" cap="flat" cmpd="sng" algn="ctr">
            <a:solidFill>
              <a:schemeClr val="accent1">
                <a:lumMod val="75000"/>
              </a:schemeClr>
            </a:solidFill>
            <a:round/>
          </a:ln>
          <a:effectLst/>
        </c:spPr>
      </c:pivotFmt>
      <c:pivotFmt>
        <c:idx val="30"/>
        <c:spPr>
          <a:solidFill>
            <a:schemeClr val="accent1">
              <a:alpha val="85000"/>
            </a:schemeClr>
          </a:solidFill>
          <a:ln w="9525" cap="flat" cmpd="sng" algn="ctr">
            <a:solidFill>
              <a:schemeClr val="accent1">
                <a:lumMod val="75000"/>
              </a:schemeClr>
            </a:solidFill>
            <a:round/>
          </a:ln>
          <a:effectLst/>
        </c:spPr>
      </c:pivotFmt>
      <c:pivotFmt>
        <c:idx val="31"/>
        <c:spPr>
          <a:solidFill>
            <a:schemeClr val="accent1">
              <a:alpha val="85000"/>
            </a:schemeClr>
          </a:solidFill>
          <a:ln w="9525" cap="flat" cmpd="sng" algn="ctr">
            <a:solidFill>
              <a:schemeClr val="accent1">
                <a:lumMod val="75000"/>
              </a:schemeClr>
            </a:solidFill>
            <a:round/>
          </a:ln>
          <a:effectLst/>
        </c:spPr>
      </c:pivotFmt>
      <c:pivotFmt>
        <c:idx val="32"/>
        <c:spPr>
          <a:solidFill>
            <a:schemeClr val="accent1">
              <a:alpha val="85000"/>
            </a:schemeClr>
          </a:solidFill>
          <a:ln w="9525" cap="flat" cmpd="sng" algn="ctr">
            <a:solidFill>
              <a:schemeClr val="accent1">
                <a:lumMod val="75000"/>
              </a:schemeClr>
            </a:solidFill>
            <a:round/>
          </a:ln>
          <a:effectLst/>
        </c:spPr>
      </c:pivotFmt>
      <c:pivotFmt>
        <c:idx val="33"/>
        <c:spPr>
          <a:solidFill>
            <a:schemeClr val="accent1">
              <a:alpha val="85000"/>
            </a:schemeClr>
          </a:solidFill>
          <a:ln w="9525" cap="flat" cmpd="sng" algn="ctr">
            <a:solidFill>
              <a:schemeClr val="accent1">
                <a:lumMod val="75000"/>
              </a:schemeClr>
            </a:solidFill>
            <a:round/>
          </a:ln>
          <a:effectLst/>
        </c:spPr>
      </c:pivotFmt>
      <c:pivotFmt>
        <c:idx val="34"/>
        <c:spPr>
          <a:solidFill>
            <a:schemeClr val="accent1">
              <a:alpha val="85000"/>
            </a:schemeClr>
          </a:solidFill>
          <a:ln w="9525" cap="flat" cmpd="sng" algn="ctr">
            <a:solidFill>
              <a:schemeClr val="accent1">
                <a:lumMod val="75000"/>
              </a:schemeClr>
            </a:solidFill>
            <a:round/>
          </a:ln>
          <a:effectLst/>
        </c:spPr>
      </c:pivotFmt>
      <c:pivotFmt>
        <c:idx val="35"/>
        <c:spPr>
          <a:solidFill>
            <a:schemeClr val="accent1">
              <a:alpha val="85000"/>
            </a:schemeClr>
          </a:solidFill>
          <a:ln w="9525" cap="flat" cmpd="sng" algn="ctr">
            <a:solidFill>
              <a:schemeClr val="accent1">
                <a:lumMod val="75000"/>
              </a:schemeClr>
            </a:solidFill>
            <a:round/>
          </a:ln>
          <a:effectLst/>
        </c:spPr>
      </c:pivotFmt>
      <c:pivotFmt>
        <c:idx val="36"/>
        <c:spPr>
          <a:solidFill>
            <a:schemeClr val="accent1">
              <a:alpha val="85000"/>
            </a:schemeClr>
          </a:solidFill>
          <a:ln w="9525" cap="flat" cmpd="sng" algn="ctr">
            <a:solidFill>
              <a:schemeClr val="accent1">
                <a:lumMod val="75000"/>
              </a:schemeClr>
            </a:solidFill>
            <a:round/>
          </a:ln>
          <a:effectLst/>
        </c:spPr>
      </c:pivotFmt>
      <c:pivotFmt>
        <c:idx val="37"/>
        <c:spPr>
          <a:solidFill>
            <a:schemeClr val="accent1">
              <a:alpha val="85000"/>
            </a:schemeClr>
          </a:solidFill>
          <a:ln w="9525" cap="flat" cmpd="sng" algn="ctr">
            <a:solidFill>
              <a:schemeClr val="accent1">
                <a:lumMod val="7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8"/>
        <c:spPr>
          <a:solidFill>
            <a:schemeClr val="accent1">
              <a:alpha val="85000"/>
            </a:schemeClr>
          </a:solidFill>
          <a:ln w="9525" cap="flat" cmpd="sng" algn="ctr">
            <a:solidFill>
              <a:schemeClr val="accent1">
                <a:lumMod val="75000"/>
              </a:schemeClr>
            </a:solidFill>
            <a:round/>
          </a:ln>
          <a:effectLst/>
        </c:spPr>
      </c:pivotFmt>
      <c:pivotFmt>
        <c:idx val="39"/>
        <c:spPr>
          <a:solidFill>
            <a:schemeClr val="accent1">
              <a:alpha val="85000"/>
            </a:schemeClr>
          </a:solidFill>
          <a:ln w="9525" cap="flat" cmpd="sng" algn="ctr">
            <a:solidFill>
              <a:schemeClr val="accent1">
                <a:lumMod val="75000"/>
              </a:schemeClr>
            </a:solidFill>
            <a:round/>
          </a:ln>
          <a:effectLst/>
        </c:spPr>
      </c:pivotFmt>
      <c:pivotFmt>
        <c:idx val="40"/>
        <c:spPr>
          <a:solidFill>
            <a:schemeClr val="accent1">
              <a:alpha val="85000"/>
            </a:schemeClr>
          </a:solidFill>
          <a:ln w="9525" cap="flat" cmpd="sng" algn="ctr">
            <a:solidFill>
              <a:schemeClr val="accent1">
                <a:lumMod val="75000"/>
              </a:schemeClr>
            </a:solidFill>
            <a:round/>
          </a:ln>
          <a:effectLst/>
        </c:spPr>
      </c:pivotFmt>
      <c:pivotFmt>
        <c:idx val="41"/>
        <c:spPr>
          <a:solidFill>
            <a:schemeClr val="accent1">
              <a:alpha val="85000"/>
            </a:schemeClr>
          </a:solidFill>
          <a:ln w="9525" cap="flat" cmpd="sng" algn="ctr">
            <a:solidFill>
              <a:schemeClr val="accent1">
                <a:lumMod val="75000"/>
              </a:schemeClr>
            </a:solidFill>
            <a:round/>
          </a:ln>
          <a:effectLst/>
        </c:spPr>
      </c:pivotFmt>
      <c:pivotFmt>
        <c:idx val="42"/>
        <c:spPr>
          <a:solidFill>
            <a:schemeClr val="accent1">
              <a:alpha val="85000"/>
            </a:schemeClr>
          </a:solidFill>
          <a:ln w="9525" cap="flat" cmpd="sng" algn="ctr">
            <a:solidFill>
              <a:schemeClr val="accent1">
                <a:lumMod val="75000"/>
              </a:schemeClr>
            </a:solidFill>
            <a:round/>
          </a:ln>
          <a:effectLst/>
        </c:spPr>
      </c:pivotFmt>
      <c:pivotFmt>
        <c:idx val="43"/>
        <c:spPr>
          <a:solidFill>
            <a:schemeClr val="accent1">
              <a:alpha val="85000"/>
            </a:schemeClr>
          </a:solidFill>
          <a:ln w="9525" cap="flat" cmpd="sng" algn="ctr">
            <a:solidFill>
              <a:schemeClr val="accent1">
                <a:lumMod val="75000"/>
              </a:schemeClr>
            </a:solidFill>
            <a:round/>
          </a:ln>
          <a:effectLst/>
        </c:spPr>
      </c:pivotFmt>
      <c:pivotFmt>
        <c:idx val="44"/>
        <c:spPr>
          <a:solidFill>
            <a:schemeClr val="accent1">
              <a:alpha val="85000"/>
            </a:schemeClr>
          </a:solidFill>
          <a:ln w="9525" cap="flat" cmpd="sng" algn="ctr">
            <a:solidFill>
              <a:schemeClr val="accent1">
                <a:lumMod val="75000"/>
              </a:schemeClr>
            </a:solidFill>
            <a:round/>
          </a:ln>
          <a:effectLst/>
        </c:spPr>
      </c:pivotFmt>
      <c:pivotFmt>
        <c:idx val="45"/>
        <c:spPr>
          <a:solidFill>
            <a:schemeClr val="accent1">
              <a:alpha val="85000"/>
            </a:schemeClr>
          </a:solidFill>
          <a:ln w="9525" cap="flat" cmpd="sng" algn="ctr">
            <a:solidFill>
              <a:schemeClr val="accent1">
                <a:lumMod val="75000"/>
              </a:schemeClr>
            </a:solidFill>
            <a:round/>
          </a:ln>
          <a:effectLst/>
        </c:spPr>
      </c:pivotFmt>
      <c:pivotFmt>
        <c:idx val="46"/>
        <c:spPr>
          <a:solidFill>
            <a:schemeClr val="accent1">
              <a:alpha val="85000"/>
            </a:schemeClr>
          </a:solidFill>
          <a:ln w="9525" cap="flat" cmpd="sng" algn="ctr">
            <a:solidFill>
              <a:schemeClr val="accent1">
                <a:lumMod val="75000"/>
              </a:schemeClr>
            </a:solidFill>
            <a:round/>
          </a:ln>
          <a:effectLst/>
        </c:spPr>
      </c:pivotFmt>
      <c:pivotFmt>
        <c:idx val="47"/>
        <c:spPr>
          <a:solidFill>
            <a:schemeClr val="accent1">
              <a:alpha val="85000"/>
            </a:schemeClr>
          </a:solidFill>
          <a:ln w="9525" cap="flat" cmpd="sng" algn="ctr">
            <a:solidFill>
              <a:schemeClr val="accent1">
                <a:lumMod val="75000"/>
              </a:schemeClr>
            </a:solidFill>
            <a:round/>
          </a:ln>
          <a:effectLst/>
        </c:spPr>
      </c:pivotFmt>
    </c:pivotFmts>
    <c:plotArea>
      <c:layout/>
      <c:pieChart>
        <c:varyColors val="1"/>
        <c:ser>
          <c:idx val="0"/>
          <c:order val="0"/>
          <c:tx>
            <c:strRef>
              <c:f>Feuil3!$B$1</c:f>
              <c:strCache>
                <c:ptCount val="1"/>
                <c:pt idx="0">
                  <c:v>Total</c:v>
                </c:pt>
              </c:strCache>
            </c:strRef>
          </c:tx>
          <c:dPt>
            <c:idx val="0"/>
            <c:bubble3D val="0"/>
            <c:spPr>
              <a:solidFill>
                <a:schemeClr val="accent1">
                  <a:alpha val="85000"/>
                </a:schemeClr>
              </a:solidFill>
              <a:ln w="9525" cap="flat" cmpd="sng" algn="ctr">
                <a:solidFill>
                  <a:schemeClr val="accent1">
                    <a:lumMod val="75000"/>
                  </a:schemeClr>
                </a:solidFill>
                <a:round/>
              </a:ln>
              <a:effectLst/>
            </c:spPr>
          </c:dPt>
          <c:dPt>
            <c:idx val="1"/>
            <c:bubble3D val="0"/>
            <c:spPr>
              <a:solidFill>
                <a:schemeClr val="accent2">
                  <a:alpha val="85000"/>
                </a:schemeClr>
              </a:solidFill>
              <a:ln w="9525" cap="flat" cmpd="sng" algn="ctr">
                <a:solidFill>
                  <a:schemeClr val="accent2">
                    <a:lumMod val="75000"/>
                  </a:schemeClr>
                </a:solidFill>
                <a:round/>
              </a:ln>
              <a:effectLst/>
            </c:spPr>
          </c:dPt>
          <c:dPt>
            <c:idx val="2"/>
            <c:bubble3D val="0"/>
            <c:spPr>
              <a:solidFill>
                <a:schemeClr val="accent3">
                  <a:alpha val="85000"/>
                </a:schemeClr>
              </a:solidFill>
              <a:ln w="9525" cap="flat" cmpd="sng" algn="ctr">
                <a:solidFill>
                  <a:schemeClr val="accent3">
                    <a:lumMod val="75000"/>
                  </a:schemeClr>
                </a:solidFill>
                <a:round/>
              </a:ln>
              <a:effectLst/>
            </c:spPr>
          </c:dPt>
          <c:dPt>
            <c:idx val="3"/>
            <c:bubble3D val="0"/>
            <c:spPr>
              <a:solidFill>
                <a:schemeClr val="accent4">
                  <a:alpha val="85000"/>
                </a:schemeClr>
              </a:solidFill>
              <a:ln w="9525" cap="flat" cmpd="sng" algn="ctr">
                <a:solidFill>
                  <a:schemeClr val="accent4">
                    <a:lumMod val="75000"/>
                  </a:schemeClr>
                </a:solidFill>
                <a:round/>
              </a:ln>
              <a:effectLst/>
            </c:spPr>
          </c:dPt>
          <c:dPt>
            <c:idx val="4"/>
            <c:bubble3D val="0"/>
            <c:spPr>
              <a:solidFill>
                <a:schemeClr val="accent5">
                  <a:alpha val="85000"/>
                </a:schemeClr>
              </a:solidFill>
              <a:ln w="9525" cap="flat" cmpd="sng" algn="ctr">
                <a:solidFill>
                  <a:schemeClr val="accent5">
                    <a:lumMod val="75000"/>
                  </a:schemeClr>
                </a:solidFill>
                <a:round/>
              </a:ln>
              <a:effectLst/>
            </c:spPr>
          </c:dPt>
          <c:dPt>
            <c:idx val="5"/>
            <c:bubble3D val="0"/>
            <c:spPr>
              <a:solidFill>
                <a:schemeClr val="accent6">
                  <a:alpha val="85000"/>
                </a:schemeClr>
              </a:solidFill>
              <a:ln w="9525" cap="flat" cmpd="sng" algn="ctr">
                <a:solidFill>
                  <a:schemeClr val="accent6">
                    <a:lumMod val="75000"/>
                  </a:schemeClr>
                </a:solidFill>
                <a:round/>
              </a:ln>
              <a:effectLst/>
            </c:spPr>
          </c:dPt>
          <c:dPt>
            <c:idx val="6"/>
            <c:bubble3D val="0"/>
            <c:spPr>
              <a:solidFill>
                <a:schemeClr val="accent1">
                  <a:lumMod val="60000"/>
                  <a:alpha val="85000"/>
                </a:schemeClr>
              </a:solidFill>
              <a:ln w="9525" cap="flat" cmpd="sng" algn="ctr">
                <a:solidFill>
                  <a:schemeClr val="accent1">
                    <a:lumMod val="60000"/>
                    <a:lumMod val="75000"/>
                  </a:schemeClr>
                </a:solidFill>
                <a:round/>
              </a:ln>
              <a:effectLst/>
            </c:spPr>
          </c:dPt>
          <c:dPt>
            <c:idx val="7"/>
            <c:bubble3D val="0"/>
            <c:spPr>
              <a:solidFill>
                <a:schemeClr val="accent2">
                  <a:lumMod val="60000"/>
                  <a:alpha val="85000"/>
                </a:schemeClr>
              </a:solidFill>
              <a:ln w="9525" cap="flat" cmpd="sng" algn="ctr">
                <a:solidFill>
                  <a:schemeClr val="accent2">
                    <a:lumMod val="60000"/>
                    <a:lumMod val="75000"/>
                  </a:schemeClr>
                </a:solidFill>
                <a:round/>
              </a:ln>
              <a:effectLst/>
            </c:spPr>
          </c:dPt>
          <c:dPt>
            <c:idx val="8"/>
            <c:bubble3D val="0"/>
            <c:spPr>
              <a:solidFill>
                <a:schemeClr val="accent3">
                  <a:lumMod val="60000"/>
                  <a:alpha val="85000"/>
                </a:schemeClr>
              </a:solidFill>
              <a:ln w="9525" cap="flat" cmpd="sng" algn="ctr">
                <a:solidFill>
                  <a:schemeClr val="accent3">
                    <a:lumMod val="60000"/>
                    <a:lumMod val="75000"/>
                  </a:schemeClr>
                </a:solidFill>
                <a:round/>
              </a:ln>
              <a:effectLst/>
            </c:spPr>
          </c:dPt>
          <c:dPt>
            <c:idx val="9"/>
            <c:bubble3D val="0"/>
            <c:spPr>
              <a:solidFill>
                <a:schemeClr val="accent4">
                  <a:lumMod val="60000"/>
                  <a:alpha val="85000"/>
                </a:schemeClr>
              </a:solidFill>
              <a:ln w="9525" cap="flat" cmpd="sng" algn="ctr">
                <a:solidFill>
                  <a:schemeClr val="accent4">
                    <a:lumMod val="60000"/>
                    <a:lumMod val="7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59</c:v>
                </c:pt>
                <c:pt idx="7">
                  <c:v>1</c:v>
                </c:pt>
                <c:pt idx="9">
                  <c:v>5</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5.5241682360326429E-2"/>
              <c:y val="0.1111111111111111"/>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5.2730696798493501E-2"/>
              <c:y val="-0.10185185185185185"/>
            </c:manualLayout>
          </c:layout>
          <c:showLegendKey val="0"/>
          <c:showVal val="0"/>
          <c:showCatName val="1"/>
          <c:showSerName val="0"/>
          <c:showPercent val="1"/>
          <c:showBubbleSize val="0"/>
          <c:extLst>
            <c:ext xmlns:c15="http://schemas.microsoft.com/office/drawing/2012/chart" uri="{CE6537A1-D6FC-4f65-9D91-7224C49458BB}"/>
          </c:extLst>
        </c:dLbl>
      </c:pivotFmt>
      <c:pivotFmt>
        <c:idx val="19"/>
        <c:dLbl>
          <c:idx val="0"/>
          <c:layout>
            <c:manualLayout>
              <c:x val="-0.19334588826114255"/>
              <c:y val="-6.944444444444446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0"/>
        <c:dLbl>
          <c:idx val="0"/>
          <c:layout>
            <c:manualLayout>
              <c:x val="2.2598870056497175E-2"/>
              <c:y val="-9.259259259259260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1"/>
        <c:dLbl>
          <c:idx val="0"/>
          <c:layout>
            <c:manualLayout>
              <c:x val="-5.5241682360326477E-2"/>
              <c:y val="-6.01851851851852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alpha val="85000"/>
            </a:schemeClr>
          </a:solidFill>
          <a:ln w="9525" cap="flat" cmpd="sng" algn="ctr">
            <a:solidFill>
              <a:schemeClr val="accent1">
                <a:lumMod val="75000"/>
              </a:schemeClr>
            </a:solidFill>
            <a:round/>
          </a:ln>
          <a:effectLst/>
        </c:spPr>
        <c:marker>
          <c:spPr>
            <a:solidFill>
              <a:schemeClr val="accent1">
                <a:alpha val="85000"/>
              </a:schemeClr>
            </a:solidFill>
            <a:ln>
              <a:noFill/>
            </a:ln>
            <a:effectLst/>
          </c:spPr>
        </c:marker>
        <c:dLbl>
          <c:idx val="0"/>
          <c:showLegendKey val="0"/>
          <c:showVal val="0"/>
          <c:showCatName val="1"/>
          <c:showSerName val="0"/>
          <c:showPercent val="1"/>
          <c:showBubbleSize val="0"/>
          <c:extLst>
            <c:ext xmlns:c15="http://schemas.microsoft.com/office/drawing/2012/chart" uri="{CE6537A1-D6FC-4f65-9D91-7224C49458BB}"/>
          </c:extLst>
        </c:dLbl>
      </c:pivotFmt>
      <c:pivotFmt>
        <c:idx val="24"/>
        <c:dLbl>
          <c:idx val="0"/>
          <c:layout>
            <c:manualLayout>
              <c:x val="-4.294071998062389E-2"/>
              <c:y val="-6.2936351706036744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5"/>
        <c:spPr>
          <a:solidFill>
            <a:schemeClr val="accent1">
              <a:alpha val="85000"/>
            </a:schemeClr>
          </a:solidFill>
          <a:ln w="9525" cap="flat" cmpd="sng" algn="ctr">
            <a:solidFill>
              <a:schemeClr val="accent1">
                <a:lumMod val="7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6"/>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s>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Feuil3!$B$1</c:f>
              <c:strCache>
                <c:ptCount val="1"/>
                <c:pt idx="0">
                  <c:v>Total</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355</c:v>
                </c:pt>
                <c:pt idx="1">
                  <c:v>12</c:v>
                </c:pt>
                <c:pt idx="3">
                  <c:v>1</c:v>
                </c:pt>
                <c:pt idx="5">
                  <c:v>30</c:v>
                </c:pt>
                <c:pt idx="7">
                  <c:v>18</c:v>
                </c:pt>
                <c:pt idx="8">
                  <c:v>20</c:v>
                </c:pt>
                <c:pt idx="9">
                  <c:v>46</c:v>
                </c:pt>
              </c:numCache>
            </c:numRef>
          </c:val>
        </c:ser>
        <c:dLbls>
          <c:showLegendKey val="0"/>
          <c:showVal val="0"/>
          <c:showCatName val="0"/>
          <c:showSerName val="0"/>
          <c:showPercent val="0"/>
          <c:showBubbleSize val="0"/>
        </c:dLbls>
        <c:gapWidth val="65"/>
        <c:shape val="box"/>
        <c:axId val="635237904"/>
        <c:axId val="635240648"/>
        <c:axId val="0"/>
      </c:bar3DChart>
      <c:catAx>
        <c:axId val="6352379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635240648"/>
        <c:crosses val="autoZero"/>
        <c:auto val="1"/>
        <c:lblAlgn val="ctr"/>
        <c:lblOffset val="100"/>
        <c:noMultiLvlLbl val="0"/>
      </c:catAx>
      <c:valAx>
        <c:axId val="6352406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6352379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5.5241682360326429E-2"/>
              <c:y val="0.1111111111111111"/>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5.2730696798493501E-2"/>
              <c:y val="-0.10185185185185185"/>
            </c:manualLayout>
          </c:layout>
          <c:showLegendKey val="0"/>
          <c:showVal val="0"/>
          <c:showCatName val="1"/>
          <c:showSerName val="0"/>
          <c:showPercent val="1"/>
          <c:showBubbleSize val="0"/>
          <c:extLst>
            <c:ext xmlns:c15="http://schemas.microsoft.com/office/drawing/2012/chart" uri="{CE6537A1-D6FC-4f65-9D91-7224C49458BB}"/>
          </c:extLst>
        </c:dLbl>
      </c:pivotFmt>
      <c:pivotFmt>
        <c:idx val="19"/>
        <c:dLbl>
          <c:idx val="0"/>
          <c:layout>
            <c:manualLayout>
              <c:x val="-0.19334588826114255"/>
              <c:y val="-6.944444444444446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0"/>
        <c:dLbl>
          <c:idx val="0"/>
          <c:layout>
            <c:manualLayout>
              <c:x val="2.2598870056497175E-2"/>
              <c:y val="-9.259259259259260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1"/>
        <c:dLbl>
          <c:idx val="0"/>
          <c:layout>
            <c:manualLayout>
              <c:x val="-5.5241682360326477E-2"/>
              <c:y val="-6.01851851851852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alpha val="85000"/>
            </a:schemeClr>
          </a:solidFill>
          <a:ln w="9525" cap="flat" cmpd="sng" algn="ctr">
            <a:solidFill>
              <a:schemeClr val="accent1">
                <a:lumMod val="75000"/>
              </a:schemeClr>
            </a:solidFill>
            <a:round/>
          </a:ln>
          <a:effectLst/>
        </c:spPr>
        <c:marker>
          <c:spPr>
            <a:solidFill>
              <a:schemeClr val="accent1">
                <a:alpha val="85000"/>
              </a:schemeClr>
            </a:solidFill>
            <a:ln>
              <a:noFill/>
            </a:ln>
            <a:effectLst/>
          </c:spPr>
        </c:marker>
        <c:dLbl>
          <c:idx val="0"/>
          <c:showLegendKey val="0"/>
          <c:showVal val="0"/>
          <c:showCatName val="1"/>
          <c:showSerName val="0"/>
          <c:showPercent val="1"/>
          <c:showBubbleSize val="0"/>
          <c:extLst>
            <c:ext xmlns:c15="http://schemas.microsoft.com/office/drawing/2012/chart" uri="{CE6537A1-D6FC-4f65-9D91-7224C49458BB}"/>
          </c:extLst>
        </c:dLbl>
      </c:pivotFmt>
      <c:pivotFmt>
        <c:idx val="24"/>
        <c:dLbl>
          <c:idx val="0"/>
          <c:layout>
            <c:manualLayout>
              <c:x val="-4.294071998062389E-2"/>
              <c:y val="-6.2936351706036744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5"/>
        <c:spPr>
          <a:solidFill>
            <a:schemeClr val="accent1">
              <a:alpha val="85000"/>
            </a:schemeClr>
          </a:solidFill>
          <a:ln w="9525" cap="flat" cmpd="sng" algn="ctr">
            <a:solidFill>
              <a:schemeClr val="accent1">
                <a:lumMod val="7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6"/>
        <c:spPr>
          <a:solidFill>
            <a:schemeClr val="accent1">
              <a:alpha val="85000"/>
            </a:schemeClr>
          </a:solidFill>
          <a:ln w="9525" cap="flat" cmpd="sng" algn="ctr">
            <a:solidFill>
              <a:schemeClr val="accent1">
                <a:lumMod val="7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7"/>
        <c:spPr>
          <a:solidFill>
            <a:schemeClr val="accent1">
              <a:alpha val="85000"/>
            </a:schemeClr>
          </a:solidFill>
          <a:ln w="9525" cap="flat" cmpd="sng" algn="ctr">
            <a:solidFill>
              <a:schemeClr val="accent1">
                <a:lumMod val="7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8"/>
        <c:spPr>
          <a:solidFill>
            <a:schemeClr val="accent1">
              <a:alpha val="85000"/>
            </a:schemeClr>
          </a:solidFill>
          <a:ln w="9525" cap="flat" cmpd="sng" algn="ctr">
            <a:solidFill>
              <a:schemeClr val="accent1">
                <a:lumMod val="75000"/>
              </a:schemeClr>
            </a:solidFill>
            <a:round/>
          </a:ln>
          <a:effectLst/>
        </c:spPr>
      </c:pivotFmt>
      <c:pivotFmt>
        <c:idx val="29"/>
        <c:spPr>
          <a:solidFill>
            <a:schemeClr val="accent1">
              <a:alpha val="85000"/>
            </a:schemeClr>
          </a:solidFill>
          <a:ln w="9525" cap="flat" cmpd="sng" algn="ctr">
            <a:solidFill>
              <a:schemeClr val="accent1">
                <a:lumMod val="75000"/>
              </a:schemeClr>
            </a:solidFill>
            <a:round/>
          </a:ln>
          <a:effectLst/>
        </c:spPr>
      </c:pivotFmt>
      <c:pivotFmt>
        <c:idx val="30"/>
        <c:spPr>
          <a:solidFill>
            <a:schemeClr val="accent1">
              <a:alpha val="85000"/>
            </a:schemeClr>
          </a:solidFill>
          <a:ln w="9525" cap="flat" cmpd="sng" algn="ctr">
            <a:solidFill>
              <a:schemeClr val="accent1">
                <a:lumMod val="75000"/>
              </a:schemeClr>
            </a:solidFill>
            <a:round/>
          </a:ln>
          <a:effectLst/>
        </c:spPr>
      </c:pivotFmt>
      <c:pivotFmt>
        <c:idx val="31"/>
        <c:spPr>
          <a:solidFill>
            <a:schemeClr val="accent1">
              <a:alpha val="85000"/>
            </a:schemeClr>
          </a:solidFill>
          <a:ln w="9525" cap="flat" cmpd="sng" algn="ctr">
            <a:solidFill>
              <a:schemeClr val="accent1">
                <a:lumMod val="75000"/>
              </a:schemeClr>
            </a:solidFill>
            <a:round/>
          </a:ln>
          <a:effectLst/>
        </c:spPr>
      </c:pivotFmt>
      <c:pivotFmt>
        <c:idx val="32"/>
        <c:spPr>
          <a:solidFill>
            <a:schemeClr val="accent1">
              <a:alpha val="85000"/>
            </a:schemeClr>
          </a:solidFill>
          <a:ln w="9525" cap="flat" cmpd="sng" algn="ctr">
            <a:solidFill>
              <a:schemeClr val="accent1">
                <a:lumMod val="75000"/>
              </a:schemeClr>
            </a:solidFill>
            <a:round/>
          </a:ln>
          <a:effectLst/>
        </c:spPr>
      </c:pivotFmt>
      <c:pivotFmt>
        <c:idx val="33"/>
        <c:spPr>
          <a:solidFill>
            <a:schemeClr val="accent1">
              <a:alpha val="85000"/>
            </a:schemeClr>
          </a:solidFill>
          <a:ln w="9525" cap="flat" cmpd="sng" algn="ctr">
            <a:solidFill>
              <a:schemeClr val="accent1">
                <a:lumMod val="75000"/>
              </a:schemeClr>
            </a:solidFill>
            <a:round/>
          </a:ln>
          <a:effectLst/>
        </c:spPr>
      </c:pivotFmt>
      <c:pivotFmt>
        <c:idx val="34"/>
        <c:spPr>
          <a:solidFill>
            <a:schemeClr val="accent1">
              <a:alpha val="85000"/>
            </a:schemeClr>
          </a:solidFill>
          <a:ln w="9525" cap="flat" cmpd="sng" algn="ctr">
            <a:solidFill>
              <a:schemeClr val="accent1">
                <a:lumMod val="75000"/>
              </a:schemeClr>
            </a:solidFill>
            <a:round/>
          </a:ln>
          <a:effectLst/>
        </c:spPr>
      </c:pivotFmt>
      <c:pivotFmt>
        <c:idx val="35"/>
        <c:spPr>
          <a:solidFill>
            <a:schemeClr val="accent1">
              <a:alpha val="85000"/>
            </a:schemeClr>
          </a:solidFill>
          <a:ln w="9525" cap="flat" cmpd="sng" algn="ctr">
            <a:solidFill>
              <a:schemeClr val="accent1">
                <a:lumMod val="75000"/>
              </a:schemeClr>
            </a:solidFill>
            <a:round/>
          </a:ln>
          <a:effectLst/>
        </c:spPr>
      </c:pivotFmt>
      <c:pivotFmt>
        <c:idx val="36"/>
        <c:spPr>
          <a:solidFill>
            <a:schemeClr val="accent1">
              <a:alpha val="85000"/>
            </a:schemeClr>
          </a:solidFill>
          <a:ln w="9525" cap="flat" cmpd="sng" algn="ctr">
            <a:solidFill>
              <a:schemeClr val="accent1">
                <a:lumMod val="75000"/>
              </a:schemeClr>
            </a:solidFill>
            <a:round/>
          </a:ln>
          <a:effectLst/>
        </c:spPr>
      </c:pivotFmt>
      <c:pivotFmt>
        <c:idx val="37"/>
        <c:spPr>
          <a:solidFill>
            <a:schemeClr val="accent1">
              <a:alpha val="85000"/>
            </a:schemeClr>
          </a:solidFill>
          <a:ln w="9525" cap="flat" cmpd="sng" algn="ctr">
            <a:solidFill>
              <a:schemeClr val="accent1">
                <a:lumMod val="75000"/>
              </a:schemeClr>
            </a:solidFill>
            <a:round/>
          </a:ln>
          <a:effectLst/>
        </c:spPr>
      </c:pivotFmt>
      <c:pivotFmt>
        <c:idx val="38"/>
        <c:spPr>
          <a:solidFill>
            <a:schemeClr val="accent1">
              <a:alpha val="85000"/>
            </a:schemeClr>
          </a:solidFill>
          <a:ln w="9525" cap="flat" cmpd="sng" algn="ctr">
            <a:solidFill>
              <a:schemeClr val="accent1">
                <a:lumMod val="7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9"/>
        <c:spPr>
          <a:solidFill>
            <a:schemeClr val="accent1">
              <a:alpha val="85000"/>
            </a:schemeClr>
          </a:solidFill>
          <a:ln w="9525" cap="flat" cmpd="sng" algn="ctr">
            <a:solidFill>
              <a:schemeClr val="accent1">
                <a:lumMod val="75000"/>
              </a:schemeClr>
            </a:solidFill>
            <a:round/>
          </a:ln>
          <a:effectLst/>
        </c:spPr>
      </c:pivotFmt>
      <c:pivotFmt>
        <c:idx val="40"/>
        <c:spPr>
          <a:solidFill>
            <a:schemeClr val="accent1">
              <a:alpha val="85000"/>
            </a:schemeClr>
          </a:solidFill>
          <a:ln w="9525" cap="flat" cmpd="sng" algn="ctr">
            <a:solidFill>
              <a:schemeClr val="accent1">
                <a:lumMod val="75000"/>
              </a:schemeClr>
            </a:solidFill>
            <a:round/>
          </a:ln>
          <a:effectLst/>
        </c:spPr>
      </c:pivotFmt>
      <c:pivotFmt>
        <c:idx val="41"/>
        <c:spPr>
          <a:solidFill>
            <a:schemeClr val="accent1">
              <a:alpha val="85000"/>
            </a:schemeClr>
          </a:solidFill>
          <a:ln w="9525" cap="flat" cmpd="sng" algn="ctr">
            <a:solidFill>
              <a:schemeClr val="accent1">
                <a:lumMod val="75000"/>
              </a:schemeClr>
            </a:solidFill>
            <a:round/>
          </a:ln>
          <a:effectLst/>
        </c:spPr>
      </c:pivotFmt>
      <c:pivotFmt>
        <c:idx val="42"/>
        <c:spPr>
          <a:solidFill>
            <a:schemeClr val="accent1">
              <a:alpha val="85000"/>
            </a:schemeClr>
          </a:solidFill>
          <a:ln w="9525" cap="flat" cmpd="sng" algn="ctr">
            <a:solidFill>
              <a:schemeClr val="accent1">
                <a:lumMod val="75000"/>
              </a:schemeClr>
            </a:solidFill>
            <a:round/>
          </a:ln>
          <a:effectLst/>
        </c:spPr>
      </c:pivotFmt>
      <c:pivotFmt>
        <c:idx val="43"/>
        <c:spPr>
          <a:solidFill>
            <a:schemeClr val="accent1">
              <a:alpha val="85000"/>
            </a:schemeClr>
          </a:solidFill>
          <a:ln w="9525" cap="flat" cmpd="sng" algn="ctr">
            <a:solidFill>
              <a:schemeClr val="accent1">
                <a:lumMod val="75000"/>
              </a:schemeClr>
            </a:solidFill>
            <a:round/>
          </a:ln>
          <a:effectLst/>
        </c:spPr>
      </c:pivotFmt>
      <c:pivotFmt>
        <c:idx val="44"/>
        <c:spPr>
          <a:solidFill>
            <a:schemeClr val="accent1">
              <a:alpha val="85000"/>
            </a:schemeClr>
          </a:solidFill>
          <a:ln w="9525" cap="flat" cmpd="sng" algn="ctr">
            <a:solidFill>
              <a:schemeClr val="accent1">
                <a:lumMod val="75000"/>
              </a:schemeClr>
            </a:solidFill>
            <a:round/>
          </a:ln>
          <a:effectLst/>
        </c:spPr>
      </c:pivotFmt>
      <c:pivotFmt>
        <c:idx val="45"/>
        <c:spPr>
          <a:solidFill>
            <a:schemeClr val="accent1">
              <a:alpha val="85000"/>
            </a:schemeClr>
          </a:solidFill>
          <a:ln w="9525" cap="flat" cmpd="sng" algn="ctr">
            <a:solidFill>
              <a:schemeClr val="accent1">
                <a:lumMod val="75000"/>
              </a:schemeClr>
            </a:solidFill>
            <a:round/>
          </a:ln>
          <a:effectLst/>
        </c:spPr>
      </c:pivotFmt>
      <c:pivotFmt>
        <c:idx val="46"/>
        <c:spPr>
          <a:solidFill>
            <a:schemeClr val="accent1">
              <a:alpha val="85000"/>
            </a:schemeClr>
          </a:solidFill>
          <a:ln w="9525" cap="flat" cmpd="sng" algn="ctr">
            <a:solidFill>
              <a:schemeClr val="accent1">
                <a:lumMod val="75000"/>
              </a:schemeClr>
            </a:solidFill>
            <a:round/>
          </a:ln>
          <a:effectLst/>
        </c:spPr>
      </c:pivotFmt>
      <c:pivotFmt>
        <c:idx val="47"/>
        <c:spPr>
          <a:solidFill>
            <a:schemeClr val="accent1">
              <a:alpha val="85000"/>
            </a:schemeClr>
          </a:solidFill>
          <a:ln w="9525" cap="flat" cmpd="sng" algn="ctr">
            <a:solidFill>
              <a:schemeClr val="accent1">
                <a:lumMod val="75000"/>
              </a:schemeClr>
            </a:solidFill>
            <a:round/>
          </a:ln>
          <a:effectLst/>
        </c:spPr>
      </c:pivotFmt>
      <c:pivotFmt>
        <c:idx val="48"/>
        <c:spPr>
          <a:solidFill>
            <a:schemeClr val="accent1">
              <a:alpha val="85000"/>
            </a:schemeClr>
          </a:solidFill>
          <a:ln w="9525" cap="flat" cmpd="sng" algn="ctr">
            <a:solidFill>
              <a:schemeClr val="accent1">
                <a:lumMod val="75000"/>
              </a:schemeClr>
            </a:solidFill>
            <a:round/>
          </a:ln>
          <a:effectLst/>
        </c:spPr>
      </c:pivotFmt>
    </c:pivotFmts>
    <c:plotArea>
      <c:layout/>
      <c:pieChart>
        <c:varyColors val="1"/>
        <c:ser>
          <c:idx val="0"/>
          <c:order val="0"/>
          <c:tx>
            <c:strRef>
              <c:f>Feuil3!$B$1</c:f>
              <c:strCache>
                <c:ptCount val="1"/>
                <c:pt idx="0">
                  <c:v>Total</c:v>
                </c:pt>
              </c:strCache>
            </c:strRef>
          </c:tx>
          <c:dPt>
            <c:idx val="0"/>
            <c:bubble3D val="0"/>
            <c:spPr>
              <a:solidFill>
                <a:schemeClr val="accent1">
                  <a:alpha val="85000"/>
                </a:schemeClr>
              </a:solidFill>
              <a:ln w="9525" cap="flat" cmpd="sng" algn="ctr">
                <a:solidFill>
                  <a:schemeClr val="accent1">
                    <a:lumMod val="75000"/>
                  </a:schemeClr>
                </a:solidFill>
                <a:round/>
              </a:ln>
              <a:effectLst/>
            </c:spPr>
          </c:dPt>
          <c:dPt>
            <c:idx val="1"/>
            <c:bubble3D val="0"/>
            <c:spPr>
              <a:solidFill>
                <a:schemeClr val="accent2">
                  <a:alpha val="85000"/>
                </a:schemeClr>
              </a:solidFill>
              <a:ln w="9525" cap="flat" cmpd="sng" algn="ctr">
                <a:solidFill>
                  <a:schemeClr val="accent2">
                    <a:lumMod val="75000"/>
                  </a:schemeClr>
                </a:solidFill>
                <a:round/>
              </a:ln>
              <a:effectLst/>
            </c:spPr>
          </c:dPt>
          <c:dPt>
            <c:idx val="2"/>
            <c:bubble3D val="0"/>
            <c:spPr>
              <a:solidFill>
                <a:schemeClr val="accent3">
                  <a:alpha val="85000"/>
                </a:schemeClr>
              </a:solidFill>
              <a:ln w="9525" cap="flat" cmpd="sng" algn="ctr">
                <a:solidFill>
                  <a:schemeClr val="accent3">
                    <a:lumMod val="75000"/>
                  </a:schemeClr>
                </a:solidFill>
                <a:round/>
              </a:ln>
              <a:effectLst/>
            </c:spPr>
          </c:dPt>
          <c:dPt>
            <c:idx val="3"/>
            <c:bubble3D val="0"/>
            <c:spPr>
              <a:solidFill>
                <a:schemeClr val="accent4">
                  <a:alpha val="85000"/>
                </a:schemeClr>
              </a:solidFill>
              <a:ln w="9525" cap="flat" cmpd="sng" algn="ctr">
                <a:solidFill>
                  <a:schemeClr val="accent4">
                    <a:lumMod val="75000"/>
                  </a:schemeClr>
                </a:solidFill>
                <a:round/>
              </a:ln>
              <a:effectLst/>
            </c:spPr>
          </c:dPt>
          <c:dPt>
            <c:idx val="4"/>
            <c:bubble3D val="0"/>
            <c:spPr>
              <a:solidFill>
                <a:schemeClr val="accent5">
                  <a:alpha val="85000"/>
                </a:schemeClr>
              </a:solidFill>
              <a:ln w="9525" cap="flat" cmpd="sng" algn="ctr">
                <a:solidFill>
                  <a:schemeClr val="accent5">
                    <a:lumMod val="75000"/>
                  </a:schemeClr>
                </a:solidFill>
                <a:round/>
              </a:ln>
              <a:effectLst/>
            </c:spPr>
          </c:dPt>
          <c:dPt>
            <c:idx val="5"/>
            <c:bubble3D val="0"/>
            <c:spPr>
              <a:solidFill>
                <a:schemeClr val="accent6">
                  <a:alpha val="85000"/>
                </a:schemeClr>
              </a:solidFill>
              <a:ln w="9525" cap="flat" cmpd="sng" algn="ctr">
                <a:solidFill>
                  <a:schemeClr val="accent6">
                    <a:lumMod val="75000"/>
                  </a:schemeClr>
                </a:solidFill>
                <a:round/>
              </a:ln>
              <a:effectLst/>
            </c:spPr>
          </c:dPt>
          <c:dPt>
            <c:idx val="6"/>
            <c:bubble3D val="0"/>
            <c:spPr>
              <a:solidFill>
                <a:schemeClr val="accent1">
                  <a:lumMod val="60000"/>
                  <a:alpha val="85000"/>
                </a:schemeClr>
              </a:solidFill>
              <a:ln w="9525" cap="flat" cmpd="sng" algn="ctr">
                <a:solidFill>
                  <a:schemeClr val="accent1">
                    <a:lumMod val="60000"/>
                    <a:lumMod val="75000"/>
                  </a:schemeClr>
                </a:solidFill>
                <a:round/>
              </a:ln>
              <a:effectLst/>
            </c:spPr>
          </c:dPt>
          <c:dPt>
            <c:idx val="7"/>
            <c:bubble3D val="0"/>
            <c:spPr>
              <a:solidFill>
                <a:schemeClr val="accent2">
                  <a:lumMod val="60000"/>
                  <a:alpha val="85000"/>
                </a:schemeClr>
              </a:solidFill>
              <a:ln w="9525" cap="flat" cmpd="sng" algn="ctr">
                <a:solidFill>
                  <a:schemeClr val="accent2">
                    <a:lumMod val="60000"/>
                    <a:lumMod val="75000"/>
                  </a:schemeClr>
                </a:solidFill>
                <a:round/>
              </a:ln>
              <a:effectLst/>
            </c:spPr>
          </c:dPt>
          <c:dPt>
            <c:idx val="8"/>
            <c:bubble3D val="0"/>
            <c:spPr>
              <a:solidFill>
                <a:schemeClr val="accent3">
                  <a:lumMod val="60000"/>
                  <a:alpha val="85000"/>
                </a:schemeClr>
              </a:solidFill>
              <a:ln w="9525" cap="flat" cmpd="sng" algn="ctr">
                <a:solidFill>
                  <a:schemeClr val="accent3">
                    <a:lumMod val="60000"/>
                    <a:lumMod val="75000"/>
                  </a:schemeClr>
                </a:solidFill>
                <a:round/>
              </a:ln>
              <a:effectLst/>
            </c:spPr>
          </c:dPt>
          <c:dPt>
            <c:idx val="9"/>
            <c:bubble3D val="0"/>
            <c:spPr>
              <a:solidFill>
                <a:schemeClr val="accent4">
                  <a:lumMod val="60000"/>
                  <a:alpha val="85000"/>
                </a:schemeClr>
              </a:solidFill>
              <a:ln w="9525" cap="flat" cmpd="sng" algn="ctr">
                <a:solidFill>
                  <a:schemeClr val="accent4">
                    <a:lumMod val="60000"/>
                    <a:lumMod val="7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355</c:v>
                </c:pt>
                <c:pt idx="1">
                  <c:v>12</c:v>
                </c:pt>
                <c:pt idx="3">
                  <c:v>1</c:v>
                </c:pt>
                <c:pt idx="5">
                  <c:v>30</c:v>
                </c:pt>
                <c:pt idx="7">
                  <c:v>18</c:v>
                </c:pt>
                <c:pt idx="8">
                  <c:v>20</c:v>
                </c:pt>
                <c:pt idx="9">
                  <c:v>46</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5.5241682360326429E-2"/>
              <c:y val="0.1111111111111111"/>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5.2730696798493501E-2"/>
              <c:y val="-0.10185185185185185"/>
            </c:manualLayout>
          </c:layout>
          <c:showLegendKey val="0"/>
          <c:showVal val="0"/>
          <c:showCatName val="1"/>
          <c:showSerName val="0"/>
          <c:showPercent val="1"/>
          <c:showBubbleSize val="0"/>
          <c:extLst>
            <c:ext xmlns:c15="http://schemas.microsoft.com/office/drawing/2012/chart" uri="{CE6537A1-D6FC-4f65-9D91-7224C49458BB}"/>
          </c:extLst>
        </c:dLbl>
      </c:pivotFmt>
      <c:pivotFmt>
        <c:idx val="19"/>
        <c:dLbl>
          <c:idx val="0"/>
          <c:layout>
            <c:manualLayout>
              <c:x val="-0.19334588826114255"/>
              <c:y val="-6.944444444444446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0"/>
        <c:dLbl>
          <c:idx val="0"/>
          <c:layout>
            <c:manualLayout>
              <c:x val="2.2598870056497175E-2"/>
              <c:y val="-9.259259259259260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1"/>
        <c:dLbl>
          <c:idx val="0"/>
          <c:layout>
            <c:manualLayout>
              <c:x val="-5.5241682360326477E-2"/>
              <c:y val="-6.01851851851852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dLbl>
          <c:idx val="0"/>
          <c:showLegendKey val="0"/>
          <c:showVal val="0"/>
          <c:showCatName val="1"/>
          <c:showSerName val="0"/>
          <c:showPercent val="1"/>
          <c:showBubbleSize val="0"/>
          <c:extLst>
            <c:ext xmlns:c15="http://schemas.microsoft.com/office/drawing/2012/chart" uri="{CE6537A1-D6FC-4f65-9D91-7224C49458BB}"/>
          </c:extLst>
        </c:dLbl>
      </c:pivotFmt>
      <c:pivotFmt>
        <c:idx val="24"/>
        <c:dLbl>
          <c:idx val="0"/>
          <c:layout>
            <c:manualLayout>
              <c:x val="-4.294071998062389E-2"/>
              <c:y val="-6.2936351706036744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5"/>
        <c:dLbl>
          <c:idx val="0"/>
          <c:showLegendKey val="0"/>
          <c:showVal val="0"/>
          <c:showCatName val="1"/>
          <c:showSerName val="0"/>
          <c:showPercent val="1"/>
          <c:showBubbleSize val="0"/>
          <c:extLst>
            <c:ext xmlns:c15="http://schemas.microsoft.com/office/drawing/2012/chart" uri="{CE6537A1-D6FC-4f65-9D91-7224C49458BB}"/>
          </c:extLst>
        </c:dLbl>
      </c:pivotFmt>
      <c:pivotFmt>
        <c:idx val="26"/>
        <c:dLbl>
          <c:idx val="0"/>
          <c:showLegendKey val="0"/>
          <c:showVal val="1"/>
          <c:showCatName val="0"/>
          <c:showSerName val="0"/>
          <c:showPercent val="0"/>
          <c:showBubbleSize val="0"/>
          <c:extLst>
            <c:ext xmlns:c15="http://schemas.microsoft.com/office/drawing/2012/chart" uri="{CE6537A1-D6FC-4f65-9D91-7224C49458BB}"/>
          </c:extLst>
        </c:dLbl>
      </c:pivotFmt>
      <c:pivotFmt>
        <c:idx val="27"/>
        <c:dLbl>
          <c:idx val="0"/>
          <c:showLegendKey val="0"/>
          <c:showVal val="1"/>
          <c:showCatName val="0"/>
          <c:showSerName val="0"/>
          <c:showPercent val="0"/>
          <c:showBubbleSize val="0"/>
          <c:extLst>
            <c:ext xmlns:c15="http://schemas.microsoft.com/office/drawing/2012/chart" uri="{CE6537A1-D6FC-4f65-9D91-7224C49458BB}"/>
          </c:extLst>
        </c:dLbl>
      </c:pivotFmt>
      <c:pivotFmt>
        <c:idx val="28"/>
        <c:dLbl>
          <c:idx val="0"/>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6"/>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7"/>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8"/>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9"/>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4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5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6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6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Feuil3!$B$1</c:f>
              <c:strCache>
                <c:ptCount val="1"/>
                <c:pt idx="0">
                  <c:v>Total</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7">
                  <c:v>7</c:v>
                </c:pt>
                <c:pt idx="8">
                  <c:v>4</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Feuil5!$B$1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8">
                  <c:v>36</c:v>
                </c:pt>
                <c:pt idx="9">
                  <c:v>38</c:v>
                </c:pt>
              </c:numCache>
            </c:numRef>
          </c:val>
        </c:ser>
        <c:dLbls>
          <c:dLblPos val="outEnd"/>
          <c:showLegendKey val="0"/>
          <c:showVal val="1"/>
          <c:showCatName val="0"/>
          <c:showSerName val="0"/>
          <c:showPercent val="0"/>
          <c:showBubbleSize val="0"/>
        </c:dLbls>
        <c:gapWidth val="219"/>
        <c:overlap val="-27"/>
        <c:axId val="635239864"/>
        <c:axId val="635235552"/>
      </c:barChart>
      <c:catAx>
        <c:axId val="635239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5235552"/>
        <c:crosses val="autoZero"/>
        <c:auto val="1"/>
        <c:lblAlgn val="ctr"/>
        <c:lblOffset val="100"/>
        <c:tickMarkSkip val="2"/>
        <c:noMultiLvlLbl val="0"/>
      </c:catAx>
      <c:valAx>
        <c:axId val="635235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5239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5.5241682360326429E-2"/>
              <c:y val="0.1111111111111111"/>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5.2730696798493501E-2"/>
              <c:y val="-0.10185185185185185"/>
            </c:manualLayout>
          </c:layout>
          <c:showLegendKey val="0"/>
          <c:showVal val="0"/>
          <c:showCatName val="1"/>
          <c:showSerName val="0"/>
          <c:showPercent val="1"/>
          <c:showBubbleSize val="0"/>
          <c:extLst>
            <c:ext xmlns:c15="http://schemas.microsoft.com/office/drawing/2012/chart" uri="{CE6537A1-D6FC-4f65-9D91-7224C49458BB}"/>
          </c:extLst>
        </c:dLbl>
      </c:pivotFmt>
      <c:pivotFmt>
        <c:idx val="19"/>
        <c:dLbl>
          <c:idx val="0"/>
          <c:layout>
            <c:manualLayout>
              <c:x val="-0.19334588826114255"/>
              <c:y val="-6.944444444444446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0"/>
        <c:dLbl>
          <c:idx val="0"/>
          <c:layout>
            <c:manualLayout>
              <c:x val="2.2598870056497175E-2"/>
              <c:y val="-9.259259259259260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1"/>
        <c:dLbl>
          <c:idx val="0"/>
          <c:layout>
            <c:manualLayout>
              <c:x val="-5.5241682360326477E-2"/>
              <c:y val="-6.01851851851852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dLbl>
          <c:idx val="0"/>
          <c:showLegendKey val="0"/>
          <c:showVal val="0"/>
          <c:showCatName val="1"/>
          <c:showSerName val="0"/>
          <c:showPercent val="1"/>
          <c:showBubbleSize val="0"/>
          <c:extLst>
            <c:ext xmlns:c15="http://schemas.microsoft.com/office/drawing/2012/chart" uri="{CE6537A1-D6FC-4f65-9D91-7224C49458BB}"/>
          </c:extLst>
        </c:dLbl>
      </c:pivotFmt>
      <c:pivotFmt>
        <c:idx val="24"/>
        <c:dLbl>
          <c:idx val="0"/>
          <c:layout>
            <c:manualLayout>
              <c:x val="-4.294071998062389E-2"/>
              <c:y val="-6.2936351706036744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5"/>
        <c:dLbl>
          <c:idx val="0"/>
          <c:showLegendKey val="0"/>
          <c:showVal val="0"/>
          <c:showCatName val="1"/>
          <c:showSerName val="0"/>
          <c:showPercent val="1"/>
          <c:showBubbleSize val="0"/>
          <c:extLst>
            <c:ext xmlns:c15="http://schemas.microsoft.com/office/drawing/2012/chart" uri="{CE6537A1-D6FC-4f65-9D91-7224C49458BB}"/>
          </c:extLst>
        </c:dLbl>
      </c:pivotFmt>
      <c:pivotFmt>
        <c:idx val="26"/>
        <c:dLbl>
          <c:idx val="0"/>
          <c:showLegendKey val="0"/>
          <c:showVal val="1"/>
          <c:showCatName val="0"/>
          <c:showSerName val="0"/>
          <c:showPercent val="0"/>
          <c:showBubbleSize val="0"/>
          <c:extLst>
            <c:ext xmlns:c15="http://schemas.microsoft.com/office/drawing/2012/chart" uri="{CE6537A1-D6FC-4f65-9D91-7224C49458BB}"/>
          </c:extLst>
        </c:dLbl>
      </c:pivotFmt>
      <c:pivotFmt>
        <c:idx val="27"/>
        <c:dLbl>
          <c:idx val="0"/>
          <c:showLegendKey val="0"/>
          <c:showVal val="1"/>
          <c:showCatName val="0"/>
          <c:showSerName val="0"/>
          <c:showPercent val="0"/>
          <c:showBubbleSize val="0"/>
          <c:extLst>
            <c:ext xmlns:c15="http://schemas.microsoft.com/office/drawing/2012/chart" uri="{CE6537A1-D6FC-4f65-9D91-7224C49458BB}"/>
          </c:extLst>
        </c:dLbl>
      </c:pivotFmt>
      <c:pivotFmt>
        <c:idx val="28"/>
        <c:dLbl>
          <c:idx val="0"/>
          <c:showLegendKey val="0"/>
          <c:showVal val="1"/>
          <c:showCatName val="0"/>
          <c:showSerName val="0"/>
          <c:showPercent val="0"/>
          <c:showBubbleSize val="0"/>
          <c:extLst>
            <c:ext xmlns:c15="http://schemas.microsoft.com/office/drawing/2012/chart" uri="{CE6537A1-D6FC-4f65-9D91-7224C49458BB}"/>
          </c:extLst>
        </c:dLbl>
      </c:pivotFmt>
      <c:pivotFmt>
        <c:idx val="29"/>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0"/>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1"/>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2"/>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3"/>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4"/>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5"/>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6"/>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7"/>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8"/>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9"/>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4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52"/>
      </c:pivotFmt>
      <c:pivotFmt>
        <c:idx val="53"/>
      </c:pivotFmt>
      <c:pivotFmt>
        <c:idx val="54"/>
      </c:pivotFmt>
      <c:pivotFmt>
        <c:idx val="55"/>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56"/>
      </c:pivotFmt>
      <c:pivotFmt>
        <c:idx val="57"/>
      </c:pivotFmt>
      <c:pivotFmt>
        <c:idx val="58"/>
      </c:pivotFmt>
      <c:pivotFmt>
        <c:idx val="59"/>
      </c:pivotFmt>
      <c:pivotFmt>
        <c:idx val="60"/>
      </c:pivotFmt>
      <c:pivotFmt>
        <c:idx val="61"/>
      </c:pivotFmt>
      <c:pivotFmt>
        <c:idx val="6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Feuil3!$B$1</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10</c:v>
                </c:pt>
                <c:pt idx="9">
                  <c:v>26</c:v>
                </c:pt>
              </c:numCache>
            </c:numRef>
          </c:val>
        </c:ser>
        <c:dLbls>
          <c:dLblPos val="outEnd"/>
          <c:showLegendKey val="0"/>
          <c:showVal val="1"/>
          <c:showCatName val="0"/>
          <c:showSerName val="0"/>
          <c:showPercent val="0"/>
          <c:showBubbleSize val="0"/>
        </c:dLbls>
        <c:gapWidth val="100"/>
        <c:axId val="400331352"/>
        <c:axId val="400331744"/>
      </c:barChart>
      <c:catAx>
        <c:axId val="400331352"/>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0331744"/>
        <c:crosses val="autoZero"/>
        <c:auto val="1"/>
        <c:lblAlgn val="ctr"/>
        <c:lblOffset val="100"/>
        <c:noMultiLvlLbl val="0"/>
      </c:catAx>
      <c:valAx>
        <c:axId val="40033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0331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4"/>
          </a:solidFill>
          <a:ln>
            <a:noFill/>
          </a:ln>
          <a:effectLst/>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3"/>
        <c:spPr>
          <a:solidFill>
            <a:schemeClr val="accent3">
              <a:lumMod val="60000"/>
            </a:schemeClr>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4"/>
        <c:spPr>
          <a:solidFill>
            <a:schemeClr val="accent3"/>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5"/>
        <c:spPr>
          <a:solidFill>
            <a:schemeClr val="accent5"/>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6"/>
        <c:spPr>
          <a:solidFill>
            <a:schemeClr val="accent2">
              <a:lumMod val="60000"/>
            </a:schemeClr>
          </a:solidFill>
          <a:ln>
            <a:noFill/>
          </a:ln>
          <a:effectLst/>
        </c:spPr>
        <c:dLbl>
          <c:idx val="0"/>
          <c:layout>
            <c:manualLayout>
              <c:x val="1.0754811898512686E-2"/>
              <c:y val="-0.100181904345290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7"/>
        <c:spPr>
          <a:solidFill>
            <a:schemeClr val="accent6"/>
          </a:solidFill>
          <a:ln>
            <a:noFill/>
          </a:ln>
          <a:effectLst/>
        </c:spPr>
        <c:dLbl>
          <c:idx val="0"/>
          <c:layout>
            <c:manualLayout>
              <c:x val="-2.3931649168853892E-2"/>
              <c:y val="8.11238699329250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9"/>
        <c:spPr>
          <a:solidFill>
            <a:schemeClr val="accent1"/>
          </a:solidFill>
          <a:ln>
            <a:noFill/>
          </a:ln>
          <a:effectLst/>
        </c:spPr>
      </c:pivotFmt>
      <c:pivotFmt>
        <c:idx val="10"/>
        <c:spPr>
          <a:solidFill>
            <a:schemeClr val="accent1"/>
          </a:solidFill>
          <a:ln>
            <a:noFill/>
          </a:ln>
          <a:effectLst/>
        </c:spPr>
      </c:pivotFmt>
      <c:pivotFmt>
        <c:idx val="1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2"/>
        <c:spPr>
          <a:solidFill>
            <a:schemeClr val="accent1"/>
          </a:solidFill>
          <a:ln>
            <a:noFill/>
          </a:ln>
          <a:effectLst/>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4"/>
        <c:spPr>
          <a:solidFill>
            <a:schemeClr val="accent1"/>
          </a:solidFill>
          <a:ln>
            <a:noFill/>
          </a:ln>
          <a:effectLst/>
        </c:spPr>
        <c:dLbl>
          <c:idx val="0"/>
          <c:layout>
            <c:manualLayout>
              <c:x val="-2.3931649168853892E-2"/>
              <c:y val="8.11238699329250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5"/>
        <c:spPr>
          <a:solidFill>
            <a:schemeClr val="accent1"/>
          </a:solidFill>
          <a:ln>
            <a:noFill/>
          </a:ln>
          <a:effectLst/>
        </c:spPr>
      </c:pivotFmt>
      <c:pivotFmt>
        <c:idx val="16"/>
        <c:spPr>
          <a:solidFill>
            <a:schemeClr val="accent1"/>
          </a:solidFill>
          <a:ln>
            <a:noFill/>
          </a:ln>
          <a:effectLst/>
        </c:spPr>
        <c:dLbl>
          <c:idx val="0"/>
          <c:layout>
            <c:manualLayout>
              <c:x val="1.0754811898512686E-2"/>
              <c:y val="-0.100181904345290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8"/>
        <c:spPr>
          <a:solidFill>
            <a:schemeClr val="accent1"/>
          </a:solidFill>
          <a:ln>
            <a:noFill/>
          </a:ln>
          <a:effectLst/>
        </c:spPr>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c:spPr>
      </c:pivotFmt>
      <c:pivotFmt>
        <c:idx val="21"/>
        <c:spPr>
          <a:solidFill>
            <a:schemeClr val="accent1"/>
          </a:solidFill>
          <a:ln>
            <a:noFill/>
          </a:ln>
          <a:effectLst/>
        </c:spPr>
      </c:pivotFmt>
      <c:pivotFmt>
        <c:idx val="2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5"/>
        <c:spPr>
          <a:solidFill>
            <a:schemeClr val="accent1"/>
          </a:solidFill>
          <a:ln>
            <a:noFill/>
          </a:ln>
          <a:effectLst/>
        </c:spPr>
        <c:dLbl>
          <c:idx val="0"/>
          <c:layout>
            <c:manualLayout>
              <c:x val="-2.3931649168853892E-2"/>
              <c:y val="8.11238699329250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6"/>
        <c:spPr>
          <a:solidFill>
            <a:schemeClr val="accent1"/>
          </a:solidFill>
          <a:ln>
            <a:noFill/>
          </a:ln>
          <a:effectLst/>
        </c:spPr>
      </c:pivotFmt>
      <c:pivotFmt>
        <c:idx val="27"/>
        <c:spPr>
          <a:solidFill>
            <a:schemeClr val="accent1"/>
          </a:solidFill>
          <a:ln>
            <a:noFill/>
          </a:ln>
          <a:effectLst/>
        </c:spPr>
        <c:dLbl>
          <c:idx val="0"/>
          <c:layout>
            <c:manualLayout>
              <c:x val="1.0754811898512686E-2"/>
              <c:y val="-0.100181904345290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9"/>
        <c:spPr>
          <a:solidFill>
            <a:schemeClr val="accent1"/>
          </a:solidFill>
          <a:ln>
            <a:noFill/>
          </a:ln>
          <a:effectLst/>
        </c:spPr>
      </c:pivotFmt>
    </c:pivotFmts>
    <c:plotArea>
      <c:layout/>
      <c:pieChart>
        <c:varyColors val="1"/>
        <c:ser>
          <c:idx val="0"/>
          <c:order val="0"/>
          <c:tx>
            <c:strRef>
              <c:f>Feuil5!$B$1</c:f>
              <c:strCache>
                <c:ptCount val="1"/>
                <c:pt idx="0">
                  <c:v>Total</c:v>
                </c:pt>
              </c:strCache>
            </c:strRef>
          </c:tx>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Pt>
            <c:idx val="5"/>
            <c:bubble3D val="0"/>
            <c:spPr>
              <a:solidFill>
                <a:schemeClr val="accent6"/>
              </a:solidFill>
              <a:ln>
                <a:noFill/>
              </a:ln>
              <a:effectLst/>
            </c:spPr>
          </c:dPt>
          <c:dPt>
            <c:idx val="6"/>
            <c:bubble3D val="0"/>
            <c:spPr>
              <a:solidFill>
                <a:schemeClr val="accent1">
                  <a:lumMod val="60000"/>
                </a:schemeClr>
              </a:solidFill>
              <a:ln>
                <a:noFill/>
              </a:ln>
              <a:effectLst/>
            </c:spPr>
          </c:dPt>
          <c:dPt>
            <c:idx val="7"/>
            <c:bubble3D val="0"/>
            <c:spPr>
              <a:solidFill>
                <a:schemeClr val="accent2">
                  <a:lumMod val="60000"/>
                </a:schemeClr>
              </a:solidFill>
              <a:ln>
                <a:noFill/>
              </a:ln>
              <a:effectLst/>
            </c:spPr>
          </c:dPt>
          <c:dPt>
            <c:idx val="8"/>
            <c:bubble3D val="0"/>
            <c:spPr>
              <a:solidFill>
                <a:schemeClr val="accent3">
                  <a:lumMod val="60000"/>
                </a:schemeClr>
              </a:solidFill>
              <a:ln>
                <a:noFill/>
              </a:ln>
              <a:effectLst/>
            </c:spPr>
          </c:dPt>
          <c:dPt>
            <c:idx val="9"/>
            <c:bubble3D val="0"/>
            <c:spPr>
              <a:solidFill>
                <a:schemeClr val="accent4">
                  <a:lumMod val="60000"/>
                </a:schemeClr>
              </a:solidFill>
              <a:ln>
                <a:noFill/>
              </a:ln>
              <a:effectLst/>
            </c:spPr>
          </c:dPt>
          <c:dLbls>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0"/>
              <c:showCatName val="1"/>
              <c:showSerName val="0"/>
              <c:showPercent val="1"/>
              <c:showBubbleSize val="0"/>
            </c:dLbl>
            <c:dLbl>
              <c:idx val="3"/>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0"/>
              <c:showCatName val="1"/>
              <c:showSerName val="0"/>
              <c:showPercent val="1"/>
              <c:showBubbleSize val="0"/>
            </c:dLbl>
            <c:dLbl>
              <c:idx val="5"/>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1">
                  <c:v>100</c:v>
                </c:pt>
                <c:pt idx="2">
                  <c:v>1620</c:v>
                </c:pt>
                <c:pt idx="3">
                  <c:v>9</c:v>
                </c:pt>
                <c:pt idx="4">
                  <c:v>1117</c:v>
                </c:pt>
                <c:pt idx="5">
                  <c:v>32</c:v>
                </c:pt>
                <c:pt idx="6">
                  <c:v>44</c:v>
                </c:pt>
                <c:pt idx="7">
                  <c:v>189</c:v>
                </c:pt>
                <c:pt idx="8">
                  <c:v>429</c:v>
                </c:pt>
                <c:pt idx="9">
                  <c:v>224</c:v>
                </c:pt>
              </c:numCache>
            </c:numRef>
          </c:val>
        </c:ser>
        <c:dLbls>
          <c:showLegendKey val="0"/>
          <c:showVal val="0"/>
          <c:showCatName val="0"/>
          <c:showSerName val="0"/>
          <c:showPercent val="0"/>
          <c:showBubbleSize val="0"/>
          <c:showLeaderLines val="1"/>
        </c:dLbls>
        <c:firstSliceAng val="0"/>
      </c:pie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
      </c:pivotFmt>
      <c:pivotFmt>
        <c:idx val="3"/>
      </c:pivotFmt>
      <c:pivotFmt>
        <c:idx val="4"/>
      </c:pivotFmt>
      <c:pivotFmt>
        <c:idx val="5"/>
      </c:pivotFmt>
      <c:pivotFmt>
        <c:idx val="6"/>
        <c:dLbl>
          <c:idx val="0"/>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Feuil5!$B$1</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2">
                  <c:v>40</c:v>
                </c:pt>
                <c:pt idx="7">
                  <c:v>227</c:v>
                </c:pt>
              </c:numCache>
            </c:numRef>
          </c:val>
        </c:ser>
        <c:dLbls>
          <c:showLegendKey val="0"/>
          <c:showVal val="1"/>
          <c:showCatName val="0"/>
          <c:showSerName val="0"/>
          <c:showPercent val="0"/>
          <c:showBubbleSize val="0"/>
        </c:dLbls>
        <c:gapWidth val="150"/>
        <c:shape val="box"/>
        <c:axId val="635242608"/>
        <c:axId val="635242216"/>
        <c:axId val="0"/>
      </c:bar3DChart>
      <c:valAx>
        <c:axId val="635242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5242608"/>
        <c:crosses val="autoZero"/>
        <c:crossBetween val="between"/>
      </c:valAx>
      <c:catAx>
        <c:axId val="63524260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524221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
      </c:pivotFmt>
      <c:pivotFmt>
        <c:idx val="3"/>
      </c:pivotFmt>
      <c:pivotFmt>
        <c:idx val="4"/>
      </c:pivotFmt>
      <c:pivotFmt>
        <c:idx val="5"/>
      </c:pivotFmt>
      <c:pivotFmt>
        <c:idx val="6"/>
        <c:dLbl>
          <c:idx val="0"/>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1"/>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2"/>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3"/>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4"/>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1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17"/>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8"/>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1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7"/>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8"/>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3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3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3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s>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Feuil5!$B$1</c:f>
              <c:strCache>
                <c:ptCount val="1"/>
                <c:pt idx="0">
                  <c:v>Total</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9"/>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dLbl>
            <c:dLbl>
              <c:idx val="5"/>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bestFit"/>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1">
                  <c:v>10</c:v>
                </c:pt>
                <c:pt idx="2">
                  <c:v>224</c:v>
                </c:pt>
                <c:pt idx="4">
                  <c:v>117</c:v>
                </c:pt>
                <c:pt idx="5">
                  <c:v>5</c:v>
                </c:pt>
                <c:pt idx="6">
                  <c:v>3</c:v>
                </c:pt>
                <c:pt idx="7">
                  <c:v>72</c:v>
                </c:pt>
                <c:pt idx="8">
                  <c:v>9</c:v>
                </c:pt>
                <c:pt idx="9">
                  <c:v>770</c:v>
                </c:pt>
              </c:numCache>
            </c:numRef>
          </c:val>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
      </c:pivotFmt>
      <c:pivotFmt>
        <c:idx val="3"/>
      </c:pivotFmt>
      <c:pivotFmt>
        <c:idx val="4"/>
      </c:pivotFmt>
      <c:pivotFmt>
        <c:idx val="5"/>
      </c:pivotFmt>
      <c:pivotFmt>
        <c:idx val="6"/>
        <c:dLbl>
          <c:idx val="0"/>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0"/>
      </c:pivotFmt>
      <c:pivotFmt>
        <c:idx val="11"/>
      </c:pivotFmt>
      <c:pivotFmt>
        <c:idx val="12"/>
      </c:pivotFmt>
      <c:pivotFmt>
        <c:idx val="13"/>
      </c:pivotFmt>
      <c:pivotFmt>
        <c:idx val="14"/>
      </c:pivotFmt>
      <c:pivotFmt>
        <c:idx val="15"/>
        <c:spPr>
          <a:gradFill flip="none" rotWithShape="1">
            <a:gsLst>
              <a:gs pos="100000">
                <a:schemeClr val="accent1">
                  <a:alpha val="0"/>
                </a:schemeClr>
              </a:gs>
              <a:gs pos="50000">
                <a:schemeClr val="accent1"/>
              </a:gs>
            </a:gsLst>
            <a:lin ang="5400000" scaled="0"/>
          </a:gradFill>
          <a:ln>
            <a:noFill/>
          </a:ln>
          <a:effectLst/>
          <a:sp3d/>
        </c:spPr>
        <c:marker>
          <c:symbol val="circle"/>
          <c:size val="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w="9525" cap="flat" cmpd="sng" algn="ctr">
              <a:solidFill>
                <a:schemeClr val="accent1">
                  <a:shade val="95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16"/>
        <c:spPr>
          <a:gradFill flip="none" rotWithShape="1">
            <a:gsLst>
              <a:gs pos="100000">
                <a:schemeClr val="accent1">
                  <a:alpha val="0"/>
                </a:schemeClr>
              </a:gs>
              <a:gs pos="50000">
                <a:schemeClr val="accent1"/>
              </a:gs>
            </a:gsLst>
            <a:lin ang="5400000" scaled="0"/>
          </a:gra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17"/>
        <c:spPr>
          <a:gradFill flip="none" rotWithShape="1">
            <a:gsLst>
              <a:gs pos="100000">
                <a:schemeClr val="accent1">
                  <a:alpha val="0"/>
                </a:schemeClr>
              </a:gs>
              <a:gs pos="50000">
                <a:schemeClr val="accent1"/>
              </a:gs>
            </a:gsLst>
            <a:lin ang="5400000" scaled="0"/>
          </a:gra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Feuil5!$B$1</c:f>
              <c:strCache>
                <c:ptCount val="1"/>
                <c:pt idx="0">
                  <c:v>Total</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3">
                  <c:v>1</c:v>
                </c:pt>
                <c:pt idx="7">
                  <c:v>35</c:v>
                </c:pt>
              </c:numCache>
            </c:numRef>
          </c:val>
        </c:ser>
        <c:dLbls>
          <c:showLegendKey val="0"/>
          <c:showVal val="0"/>
          <c:showCatName val="0"/>
          <c:showSerName val="0"/>
          <c:showPercent val="0"/>
          <c:showBubbleSize val="0"/>
        </c:dLbls>
        <c:gapWidth val="150"/>
        <c:gapDepth val="0"/>
        <c:shape val="box"/>
        <c:axId val="635236728"/>
        <c:axId val="635239080"/>
        <c:axId val="0"/>
      </c:bar3DChart>
      <c:catAx>
        <c:axId val="63523672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5239080"/>
        <c:crosses val="autoZero"/>
        <c:auto val="1"/>
        <c:lblAlgn val="ctr"/>
        <c:lblOffset val="100"/>
        <c:noMultiLvlLbl val="0"/>
      </c:catAx>
      <c:valAx>
        <c:axId val="63523908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5236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
      </c:pivotFmt>
      <c:pivotFmt>
        <c:idx val="3"/>
      </c:pivotFmt>
      <c:pivotFmt>
        <c:idx val="4"/>
      </c:pivotFmt>
      <c:pivotFmt>
        <c:idx val="5"/>
      </c:pivotFmt>
      <c:pivotFmt>
        <c:idx val="6"/>
        <c:dLbl>
          <c:idx val="0"/>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0"/>
      </c:pivotFmt>
      <c:pivotFmt>
        <c:idx val="11"/>
      </c:pivotFmt>
      <c:pivotFmt>
        <c:idx val="12"/>
      </c:pivotFmt>
      <c:pivotFmt>
        <c:idx val="13"/>
      </c:pivotFmt>
      <c:pivotFmt>
        <c:idx val="14"/>
      </c:pivotFmt>
      <c:pivotFmt>
        <c:idx val="15"/>
        <c:spPr>
          <a:gradFill flip="none" rotWithShape="1">
            <a:gsLst>
              <a:gs pos="100000">
                <a:schemeClr val="accent1">
                  <a:alpha val="0"/>
                </a:schemeClr>
              </a:gs>
              <a:gs pos="50000">
                <a:schemeClr val="accent1"/>
              </a:gs>
            </a:gsLst>
            <a:lin ang="5400000" scaled="0"/>
          </a:gradFill>
          <a:ln>
            <a:noFill/>
          </a:ln>
          <a:effectLst/>
          <a:sp3d/>
        </c:spPr>
        <c:marker>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w="9525" cap="flat" cmpd="sng" algn="ctr">
              <a:solidFill>
                <a:schemeClr val="accent1">
                  <a:shade val="95000"/>
                </a:schemeClr>
              </a:solidFill>
              <a:round/>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7"/>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dLbl>
          <c:idx val="0"/>
          <c:layout>
            <c:manualLayout>
              <c:x val="2.3749343832020996E-2"/>
              <c:y val="-2.074402158063575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8"/>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9"/>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1"/>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2"/>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3"/>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4"/>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dLbl>
          <c:idx val="0"/>
          <c:layout>
            <c:manualLayout>
              <c:x val="2.3749343832020996E-2"/>
              <c:y val="-2.074402158063575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5"/>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7"/>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8"/>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9"/>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1"/>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2"/>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3"/>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4"/>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5"/>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dLbl>
          <c:idx val="0"/>
          <c:layout>
            <c:manualLayout>
              <c:x val="2.3749343832020996E-2"/>
              <c:y val="-2.074402158063575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7"/>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8"/>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9"/>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s>
    <c:plotArea>
      <c:layout/>
      <c:pieChart>
        <c:varyColors val="1"/>
        <c:ser>
          <c:idx val="0"/>
          <c:order val="0"/>
          <c:tx>
            <c:strRef>
              <c:f>Feuil5!$B$1</c:f>
              <c:strCache>
                <c:ptCount val="1"/>
                <c:pt idx="0">
                  <c:v>Total</c:v>
                </c:pt>
              </c:strCache>
            </c:strRef>
          </c:tx>
          <c:dPt>
            <c:idx val="0"/>
            <c:bubble3D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dPt>
          <c:dPt>
            <c:idx val="1"/>
            <c:bubble3D val="0"/>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dPt>
          <c:dPt>
            <c:idx val="2"/>
            <c:bubble3D val="0"/>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dPt>
          <c:dPt>
            <c:idx val="3"/>
            <c:bubble3D val="0"/>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dPt>
          <c:dPt>
            <c:idx val="4"/>
            <c:bubble3D val="0"/>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dPt>
          <c:dPt>
            <c:idx val="5"/>
            <c:bubble3D val="0"/>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dPt>
          <c:dPt>
            <c:idx val="6"/>
            <c:bubble3D val="0"/>
            <c:spPr>
              <a:gradFill flip="none" rotWithShape="1">
                <a:gsLst>
                  <a:gs pos="0">
                    <a:schemeClr val="accent1">
                      <a:lumMod val="60000"/>
                    </a:schemeClr>
                  </a:gs>
                  <a:gs pos="75000">
                    <a:schemeClr val="accent1">
                      <a:lumMod val="60000"/>
                      <a:lumMod val="60000"/>
                      <a:lumOff val="40000"/>
                    </a:schemeClr>
                  </a:gs>
                  <a:gs pos="51000">
                    <a:schemeClr val="accent1">
                      <a:lumMod val="60000"/>
                      <a:alpha val="75000"/>
                    </a:schemeClr>
                  </a:gs>
                  <a:gs pos="100000">
                    <a:schemeClr val="accent1">
                      <a:lumMod val="60000"/>
                      <a:lumMod val="20000"/>
                      <a:lumOff val="80000"/>
                      <a:alpha val="15000"/>
                    </a:schemeClr>
                  </a:gs>
                </a:gsLst>
                <a:lin ang="5400000" scaled="0"/>
              </a:gradFill>
              <a:ln>
                <a:noFill/>
              </a:ln>
              <a:effectLst/>
            </c:spPr>
          </c:dPt>
          <c:dPt>
            <c:idx val="7"/>
            <c:bubble3D val="0"/>
            <c:spPr>
              <a:gradFill flip="none" rotWithShape="1">
                <a:gsLst>
                  <a:gs pos="0">
                    <a:schemeClr val="accent2">
                      <a:lumMod val="60000"/>
                    </a:schemeClr>
                  </a:gs>
                  <a:gs pos="75000">
                    <a:schemeClr val="accent2">
                      <a:lumMod val="60000"/>
                      <a:lumMod val="60000"/>
                      <a:lumOff val="40000"/>
                    </a:schemeClr>
                  </a:gs>
                  <a:gs pos="51000">
                    <a:schemeClr val="accent2">
                      <a:lumMod val="60000"/>
                      <a:alpha val="75000"/>
                    </a:schemeClr>
                  </a:gs>
                  <a:gs pos="100000">
                    <a:schemeClr val="accent2">
                      <a:lumMod val="60000"/>
                      <a:lumMod val="20000"/>
                      <a:lumOff val="80000"/>
                      <a:alpha val="15000"/>
                    </a:schemeClr>
                  </a:gs>
                </a:gsLst>
                <a:lin ang="5400000" scaled="0"/>
              </a:gradFill>
              <a:ln>
                <a:noFill/>
              </a:ln>
              <a:effectLst/>
            </c:spPr>
          </c:dPt>
          <c:dPt>
            <c:idx val="8"/>
            <c:bubble3D val="0"/>
            <c:spPr>
              <a:gradFill flip="none" rotWithShape="1">
                <a:gsLst>
                  <a:gs pos="0">
                    <a:schemeClr val="accent3">
                      <a:lumMod val="60000"/>
                    </a:schemeClr>
                  </a:gs>
                  <a:gs pos="75000">
                    <a:schemeClr val="accent3">
                      <a:lumMod val="60000"/>
                      <a:lumMod val="60000"/>
                      <a:lumOff val="40000"/>
                    </a:schemeClr>
                  </a:gs>
                  <a:gs pos="51000">
                    <a:schemeClr val="accent3">
                      <a:lumMod val="60000"/>
                      <a:alpha val="75000"/>
                    </a:schemeClr>
                  </a:gs>
                  <a:gs pos="100000">
                    <a:schemeClr val="accent3">
                      <a:lumMod val="60000"/>
                      <a:lumMod val="20000"/>
                      <a:lumOff val="80000"/>
                      <a:alpha val="15000"/>
                    </a:schemeClr>
                  </a:gs>
                </a:gsLst>
                <a:lin ang="5400000" scaled="0"/>
              </a:gradFill>
              <a:ln>
                <a:noFill/>
              </a:ln>
              <a:effectLst/>
            </c:spPr>
          </c:dPt>
          <c:dPt>
            <c:idx val="9"/>
            <c:bubble3D val="0"/>
            <c:spPr>
              <a:gradFill flip="none" rotWithShape="1">
                <a:gsLst>
                  <a:gs pos="0">
                    <a:schemeClr val="accent4">
                      <a:lumMod val="60000"/>
                    </a:schemeClr>
                  </a:gs>
                  <a:gs pos="75000">
                    <a:schemeClr val="accent4">
                      <a:lumMod val="60000"/>
                      <a:lumMod val="60000"/>
                      <a:lumOff val="40000"/>
                    </a:schemeClr>
                  </a:gs>
                  <a:gs pos="51000">
                    <a:schemeClr val="accent4">
                      <a:lumMod val="60000"/>
                      <a:alpha val="75000"/>
                    </a:schemeClr>
                  </a:gs>
                  <a:gs pos="100000">
                    <a:schemeClr val="accent4">
                      <a:lumMod val="60000"/>
                      <a:lumMod val="20000"/>
                      <a:lumOff val="80000"/>
                      <a:alpha val="15000"/>
                    </a:schemeClr>
                  </a:gs>
                </a:gsLst>
                <a:lin ang="5400000" scaled="0"/>
              </a:gradFill>
              <a:ln>
                <a:noFill/>
              </a:ln>
              <a:effectLst/>
            </c:spPr>
          </c:dPt>
          <c:dLbls>
            <c:dLbl>
              <c:idx val="5"/>
              <c:layout>
                <c:manualLayout>
                  <c:x val="2.3749343832020996E-2"/>
                  <c:y val="-2.0744021580635753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1">
                  <c:v>40</c:v>
                </c:pt>
                <c:pt idx="2">
                  <c:v>108</c:v>
                </c:pt>
                <c:pt idx="3">
                  <c:v>5</c:v>
                </c:pt>
                <c:pt idx="4">
                  <c:v>37</c:v>
                </c:pt>
                <c:pt idx="5">
                  <c:v>3</c:v>
                </c:pt>
                <c:pt idx="7">
                  <c:v>24</c:v>
                </c:pt>
                <c:pt idx="8">
                  <c:v>62</c:v>
                </c:pt>
                <c:pt idx="9">
                  <c:v>290</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
      </c:pivotFmt>
      <c:pivotFmt>
        <c:idx val="3"/>
      </c:pivotFmt>
      <c:pivotFmt>
        <c:idx val="4"/>
      </c:pivotFmt>
      <c:pivotFmt>
        <c:idx val="5"/>
      </c:pivotFmt>
      <c:pivotFmt>
        <c:idx val="6"/>
        <c:dLbl>
          <c:idx val="0"/>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0"/>
      </c:pivotFmt>
      <c:pivotFmt>
        <c:idx val="11"/>
      </c:pivotFmt>
      <c:pivotFmt>
        <c:idx val="12"/>
      </c:pivotFmt>
      <c:pivotFmt>
        <c:idx val="13"/>
      </c:pivotFmt>
      <c:pivotFmt>
        <c:idx val="14"/>
      </c:pivotFmt>
      <c:pivotFmt>
        <c:idx val="15"/>
        <c:spPr>
          <a:gradFill flip="none" rotWithShape="1">
            <a:gsLst>
              <a:gs pos="100000">
                <a:schemeClr val="accent1">
                  <a:alpha val="0"/>
                </a:schemeClr>
              </a:gs>
              <a:gs pos="50000">
                <a:schemeClr val="accent1"/>
              </a:gs>
            </a:gsLst>
            <a:lin ang="5400000" scaled="0"/>
          </a:gradFill>
          <a:ln>
            <a:noFill/>
          </a:ln>
          <a:effectLst/>
          <a:sp3d/>
        </c:spPr>
        <c:marker>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w="9525" cap="flat" cmpd="sng" algn="ctr">
              <a:solidFill>
                <a:schemeClr val="accent1">
                  <a:shade val="95000"/>
                </a:schemeClr>
              </a:solidFill>
              <a:round/>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2.3749343832020996E-2"/>
              <c:y val="-2.0744021580635753E-2"/>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9"/>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1"/>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2"/>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3"/>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4"/>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5"/>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7"/>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8"/>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9"/>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31"/>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2"/>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3"/>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4"/>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5"/>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7"/>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8"/>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39"/>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4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s>
    <c:plotArea>
      <c:layout/>
      <c:pieChart>
        <c:varyColors val="1"/>
        <c:ser>
          <c:idx val="0"/>
          <c:order val="0"/>
          <c:tx>
            <c:strRef>
              <c:f>Feuil5!$B$1</c:f>
              <c:strCache>
                <c:ptCount val="1"/>
                <c:pt idx="0">
                  <c:v>Total</c:v>
                </c:pt>
              </c:strCache>
            </c:strRef>
          </c:tx>
          <c:dPt>
            <c:idx val="0"/>
            <c:bubble3D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dPt>
          <c:dPt>
            <c:idx val="1"/>
            <c:bubble3D val="0"/>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dPt>
          <c:dPt>
            <c:idx val="2"/>
            <c:bubble3D val="0"/>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dPt>
          <c:dPt>
            <c:idx val="3"/>
            <c:bubble3D val="0"/>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dPt>
          <c:dPt>
            <c:idx val="4"/>
            <c:bubble3D val="0"/>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dPt>
          <c:dPt>
            <c:idx val="5"/>
            <c:bubble3D val="0"/>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dPt>
          <c:dPt>
            <c:idx val="6"/>
            <c:bubble3D val="0"/>
            <c:spPr>
              <a:gradFill flip="none" rotWithShape="1">
                <a:gsLst>
                  <a:gs pos="0">
                    <a:schemeClr val="accent1">
                      <a:lumMod val="60000"/>
                    </a:schemeClr>
                  </a:gs>
                  <a:gs pos="75000">
                    <a:schemeClr val="accent1">
                      <a:lumMod val="60000"/>
                      <a:lumMod val="60000"/>
                      <a:lumOff val="40000"/>
                    </a:schemeClr>
                  </a:gs>
                  <a:gs pos="51000">
                    <a:schemeClr val="accent1">
                      <a:lumMod val="60000"/>
                      <a:alpha val="75000"/>
                    </a:schemeClr>
                  </a:gs>
                  <a:gs pos="100000">
                    <a:schemeClr val="accent1">
                      <a:lumMod val="60000"/>
                      <a:lumMod val="20000"/>
                      <a:lumOff val="80000"/>
                      <a:alpha val="15000"/>
                    </a:schemeClr>
                  </a:gs>
                </a:gsLst>
                <a:lin ang="5400000" scaled="0"/>
              </a:gradFill>
              <a:ln>
                <a:noFill/>
              </a:ln>
              <a:effectLst/>
            </c:spPr>
          </c:dPt>
          <c:dPt>
            <c:idx val="7"/>
            <c:bubble3D val="0"/>
            <c:spPr>
              <a:gradFill flip="none" rotWithShape="1">
                <a:gsLst>
                  <a:gs pos="0">
                    <a:schemeClr val="accent2">
                      <a:lumMod val="60000"/>
                    </a:schemeClr>
                  </a:gs>
                  <a:gs pos="75000">
                    <a:schemeClr val="accent2">
                      <a:lumMod val="60000"/>
                      <a:lumMod val="60000"/>
                      <a:lumOff val="40000"/>
                    </a:schemeClr>
                  </a:gs>
                  <a:gs pos="51000">
                    <a:schemeClr val="accent2">
                      <a:lumMod val="60000"/>
                      <a:alpha val="75000"/>
                    </a:schemeClr>
                  </a:gs>
                  <a:gs pos="100000">
                    <a:schemeClr val="accent2">
                      <a:lumMod val="60000"/>
                      <a:lumMod val="20000"/>
                      <a:lumOff val="80000"/>
                      <a:alpha val="15000"/>
                    </a:schemeClr>
                  </a:gs>
                </a:gsLst>
                <a:lin ang="5400000" scaled="0"/>
              </a:gradFill>
              <a:ln>
                <a:noFill/>
              </a:ln>
              <a:effectLst/>
            </c:spPr>
          </c:dPt>
          <c:dPt>
            <c:idx val="8"/>
            <c:bubble3D val="0"/>
            <c:spPr>
              <a:gradFill flip="none" rotWithShape="1">
                <a:gsLst>
                  <a:gs pos="0">
                    <a:schemeClr val="accent3">
                      <a:lumMod val="60000"/>
                    </a:schemeClr>
                  </a:gs>
                  <a:gs pos="75000">
                    <a:schemeClr val="accent3">
                      <a:lumMod val="60000"/>
                      <a:lumMod val="60000"/>
                      <a:lumOff val="40000"/>
                    </a:schemeClr>
                  </a:gs>
                  <a:gs pos="51000">
                    <a:schemeClr val="accent3">
                      <a:lumMod val="60000"/>
                      <a:alpha val="75000"/>
                    </a:schemeClr>
                  </a:gs>
                  <a:gs pos="100000">
                    <a:schemeClr val="accent3">
                      <a:lumMod val="60000"/>
                      <a:lumMod val="20000"/>
                      <a:lumOff val="80000"/>
                      <a:alpha val="15000"/>
                    </a:schemeClr>
                  </a:gs>
                </a:gsLst>
                <a:lin ang="5400000" scaled="0"/>
              </a:gradFill>
              <a:ln>
                <a:noFill/>
              </a:ln>
              <a:effectLst/>
            </c:spPr>
          </c:dPt>
          <c:dPt>
            <c:idx val="9"/>
            <c:bubble3D val="0"/>
            <c:spPr>
              <a:gradFill flip="none" rotWithShape="1">
                <a:gsLst>
                  <a:gs pos="0">
                    <a:schemeClr val="accent4">
                      <a:lumMod val="60000"/>
                    </a:schemeClr>
                  </a:gs>
                  <a:gs pos="75000">
                    <a:schemeClr val="accent4">
                      <a:lumMod val="60000"/>
                      <a:lumMod val="60000"/>
                      <a:lumOff val="40000"/>
                    </a:schemeClr>
                  </a:gs>
                  <a:gs pos="51000">
                    <a:schemeClr val="accent4">
                      <a:lumMod val="60000"/>
                      <a:alpha val="75000"/>
                    </a:schemeClr>
                  </a:gs>
                  <a:gs pos="100000">
                    <a:schemeClr val="accent4">
                      <a:lumMod val="60000"/>
                      <a:lumMod val="20000"/>
                      <a:lumOff val="80000"/>
                      <a:alpha val="15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2">
                  <c:v>7</c:v>
                </c:pt>
                <c:pt idx="3">
                  <c:v>6</c:v>
                </c:pt>
                <c:pt idx="4">
                  <c:v>4</c:v>
                </c:pt>
                <c:pt idx="7">
                  <c:v>6</c:v>
                </c:pt>
                <c:pt idx="8">
                  <c:v>36</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
      </c:pivotFmt>
      <c:pivotFmt>
        <c:idx val="3"/>
      </c:pivotFmt>
      <c:pivotFmt>
        <c:idx val="4"/>
      </c:pivotFmt>
      <c:pivotFmt>
        <c:idx val="5"/>
      </c:pivotFmt>
      <c:pivotFmt>
        <c:idx val="6"/>
        <c:dLbl>
          <c:idx val="0"/>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0"/>
      </c:pivotFmt>
      <c:pivotFmt>
        <c:idx val="11"/>
      </c:pivotFmt>
      <c:pivotFmt>
        <c:idx val="12"/>
      </c:pivotFmt>
      <c:pivotFmt>
        <c:idx val="13"/>
      </c:pivotFmt>
      <c:pivotFmt>
        <c:idx val="14"/>
      </c:pivotFmt>
      <c:pivotFmt>
        <c:idx val="15"/>
        <c:dLbl>
          <c:idx val="0"/>
          <c:showLegendKey val="0"/>
          <c:showVal val="1"/>
          <c:showCatName val="0"/>
          <c:showSerName val="0"/>
          <c:showPercent val="0"/>
          <c:showBubbleSize val="0"/>
          <c:extLst>
            <c:ext xmlns:c15="http://schemas.microsoft.com/office/drawing/2012/chart" uri="{CE6537A1-D6FC-4f65-9D91-7224C49458BB}"/>
          </c:extLst>
        </c:dLbl>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2.3749343832020996E-2"/>
              <c:y val="-2.0744021580635753E-2"/>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showLegendKey val="0"/>
          <c:showVal val="0"/>
          <c:showCatName val="1"/>
          <c:showSerName val="0"/>
          <c:showPercent val="1"/>
          <c:showBubbleSize val="0"/>
          <c:extLst>
            <c:ext xmlns:c15="http://schemas.microsoft.com/office/drawing/2012/chart" uri="{CE6537A1-D6FC-4f65-9D91-7224C49458BB}"/>
          </c:extLst>
        </c:dLbl>
      </c:pivotFmt>
      <c:pivotFmt>
        <c:idx val="1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6"/>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7"/>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8"/>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9"/>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Feuil5!$B$1</c:f>
              <c:strCache>
                <c:ptCount val="1"/>
                <c:pt idx="0">
                  <c:v>Total</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outEnd"/>
              <c:showLegendKey val="0"/>
              <c:showVal val="0"/>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outEnd"/>
              <c:showLegendKey val="0"/>
              <c:showVal val="0"/>
              <c:showCatName val="1"/>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4">
                  <c:v>18</c:v>
                </c:pt>
                <c:pt idx="7">
                  <c:v>4</c:v>
                </c:pt>
                <c:pt idx="8">
                  <c:v>27</c:v>
                </c:pt>
                <c:pt idx="9">
                  <c:v>50</c:v>
                </c:pt>
              </c:numCache>
            </c:numRef>
          </c:val>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
      </c:pivotFmt>
      <c:pivotFmt>
        <c:idx val="3"/>
      </c:pivotFmt>
      <c:pivotFmt>
        <c:idx val="4"/>
      </c:pivotFmt>
      <c:pivotFmt>
        <c:idx val="5"/>
      </c:pivotFmt>
      <c:pivotFmt>
        <c:idx val="6"/>
        <c:dLbl>
          <c:idx val="0"/>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0"/>
      </c:pivotFmt>
      <c:pivotFmt>
        <c:idx val="11"/>
      </c:pivotFmt>
      <c:pivotFmt>
        <c:idx val="12"/>
      </c:pivotFmt>
      <c:pivotFmt>
        <c:idx val="13"/>
      </c:pivotFmt>
      <c:pivotFmt>
        <c:idx val="14"/>
      </c:pivotFmt>
      <c:pivotFmt>
        <c:idx val="15"/>
        <c:dLbl>
          <c:idx val="0"/>
          <c:showLegendKey val="0"/>
          <c:showVal val="1"/>
          <c:showCatName val="0"/>
          <c:showSerName val="0"/>
          <c:showPercent val="0"/>
          <c:showBubbleSize val="0"/>
          <c:extLst>
            <c:ext xmlns:c15="http://schemas.microsoft.com/office/drawing/2012/chart" uri="{CE6537A1-D6FC-4f65-9D91-7224C49458BB}"/>
          </c:extLst>
        </c:dLbl>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2.3749343832020996E-2"/>
              <c:y val="-2.0744021580635753E-2"/>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showLegendKey val="0"/>
          <c:showVal val="0"/>
          <c:showCatName val="1"/>
          <c:showSerName val="0"/>
          <c:showPercent val="1"/>
          <c:showBubbleSize val="0"/>
          <c:extLst>
            <c:ext xmlns:c15="http://schemas.microsoft.com/office/drawing/2012/chart" uri="{CE6537A1-D6FC-4f65-9D91-7224C49458BB}"/>
          </c:extLst>
        </c:dLbl>
      </c:pivotFmt>
      <c:pivotFmt>
        <c:idx val="1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pPr>
            <a:solidFill>
              <a:schemeClr val="accent1"/>
            </a:solidFill>
            <a:ln w="9525">
              <a:solidFill>
                <a:schemeClr val="l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1"/>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2"/>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3"/>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4"/>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5"/>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6"/>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7"/>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8"/>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9"/>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2"/>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3"/>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4"/>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5"/>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6"/>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7"/>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8"/>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9"/>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Feuil5!$B$1</c:f>
              <c:strCache>
                <c:ptCount val="1"/>
                <c:pt idx="0">
                  <c:v>Total</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outEnd"/>
              <c:showLegendKey val="0"/>
              <c:showVal val="0"/>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outEnd"/>
              <c:showLegendKey val="0"/>
              <c:showVal val="0"/>
              <c:showCatName val="1"/>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1">
                  <c:v>4</c:v>
                </c:pt>
                <c:pt idx="2">
                  <c:v>42</c:v>
                </c:pt>
                <c:pt idx="4">
                  <c:v>18</c:v>
                </c:pt>
                <c:pt idx="5">
                  <c:v>39</c:v>
                </c:pt>
                <c:pt idx="7">
                  <c:v>4</c:v>
                </c:pt>
                <c:pt idx="8">
                  <c:v>27</c:v>
                </c:pt>
                <c:pt idx="9">
                  <c:v>300</c:v>
                </c:pt>
              </c:numCache>
            </c:numRef>
          </c:val>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2.xlsx]Feuil5!Tableau croisé dynamique9</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
      </c:pivotFmt>
      <c:pivotFmt>
        <c:idx val="3"/>
      </c:pivotFmt>
      <c:pivotFmt>
        <c:idx val="4"/>
      </c:pivotFmt>
      <c:pivotFmt>
        <c:idx val="5"/>
      </c:pivotFmt>
      <c:pivotFmt>
        <c:idx val="6"/>
        <c:dLbl>
          <c:idx val="0"/>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0"/>
      </c:pivotFmt>
      <c:pivotFmt>
        <c:idx val="11"/>
      </c:pivotFmt>
      <c:pivotFmt>
        <c:idx val="12"/>
      </c:pivotFmt>
      <c:pivotFmt>
        <c:idx val="13"/>
      </c:pivotFmt>
      <c:pivotFmt>
        <c:idx val="14"/>
      </c:pivotFmt>
      <c:pivotFmt>
        <c:idx val="15"/>
        <c:dLbl>
          <c:idx val="0"/>
          <c:showLegendKey val="0"/>
          <c:showVal val="1"/>
          <c:showCatName val="0"/>
          <c:showSerName val="0"/>
          <c:showPercent val="0"/>
          <c:showBubbleSize val="0"/>
          <c:extLst>
            <c:ext xmlns:c15="http://schemas.microsoft.com/office/drawing/2012/chart" uri="{CE6537A1-D6FC-4f65-9D91-7224C49458BB}"/>
          </c:extLst>
        </c:dLbl>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2.3749343832020996E-2"/>
              <c:y val="-2.0744021580635753E-2"/>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showLegendKey val="0"/>
          <c:showVal val="0"/>
          <c:showCatName val="1"/>
          <c:showSerName val="0"/>
          <c:showPercent val="1"/>
          <c:showBubbleSize val="0"/>
          <c:extLst>
            <c:ext xmlns:c15="http://schemas.microsoft.com/office/drawing/2012/chart" uri="{CE6537A1-D6FC-4f65-9D91-7224C49458BB}"/>
          </c:extLst>
        </c:dLbl>
      </c:pivotFmt>
      <c:pivotFmt>
        <c:idx val="1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pPr>
            <a:solidFill>
              <a:schemeClr val="accent1"/>
            </a:solidFill>
            <a:ln w="9525">
              <a:solidFill>
                <a:schemeClr val="l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1"/>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2"/>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3"/>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4"/>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5"/>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6"/>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7"/>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8"/>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9"/>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1"/>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2"/>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3"/>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4"/>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5"/>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6"/>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7"/>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8"/>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9"/>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0"/>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2"/>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3"/>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5"/>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1.6666666666666666E-2"/>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0.05"/>
              <c:y val="-1.06094453400166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8"/>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9"/>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1"/>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0.05"/>
              <c:y val="-1.06094453400166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1.6666666666666666E-2"/>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0.05"/>
              <c:y val="-1.06094453400166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6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1.6666666666666666E-2"/>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6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Feuil5!$B$1</c:f>
              <c:strCache>
                <c:ptCount val="1"/>
                <c:pt idx="0">
                  <c:v>Total</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dLbl>
            <c:dLbl>
              <c:idx val="1"/>
              <c:layout>
                <c:manualLayout>
                  <c:x val="-0.05"/>
                  <c:y val="-1.06094453400166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dLbl>
            <c:dLbl>
              <c:idx val="3"/>
              <c:layout>
                <c:manualLayout>
                  <c:x val="1.6666666666666666E-2"/>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outEnd"/>
              <c:showLegendKey val="0"/>
              <c:showVal val="0"/>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outEnd"/>
              <c:showLegendKey val="0"/>
              <c:showVal val="0"/>
              <c:showCatName val="1"/>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1">
                  <c:v>10</c:v>
                </c:pt>
                <c:pt idx="3">
                  <c:v>10</c:v>
                </c:pt>
                <c:pt idx="6">
                  <c:v>100</c:v>
                </c:pt>
                <c:pt idx="7">
                  <c:v>86</c:v>
                </c:pt>
              </c:numCache>
            </c:numRef>
          </c:val>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pivotSource>
    <c:name>[DR 2022 sstq 2.xlsx]Feuil5!Tableau croisé dynamique9</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
      </c:pivotFmt>
      <c:pivotFmt>
        <c:idx val="3"/>
      </c:pivotFmt>
      <c:pivotFmt>
        <c:idx val="4"/>
      </c:pivotFmt>
      <c:pivotFmt>
        <c:idx val="5"/>
      </c:pivotFmt>
      <c:pivotFmt>
        <c:idx val="6"/>
        <c:dLbl>
          <c:idx val="0"/>
          <c:layout>
            <c:manualLayout>
              <c:x val="1.0754811898512686E-2"/>
              <c:y val="-0.100181904345290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2.3931649168853892E-2"/>
              <c:y val="8.112386993292505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0"/>
      </c:pivotFmt>
      <c:pivotFmt>
        <c:idx val="11"/>
      </c:pivotFmt>
      <c:pivotFmt>
        <c:idx val="12"/>
      </c:pivotFmt>
      <c:pivotFmt>
        <c:idx val="13"/>
      </c:pivotFmt>
      <c:pivotFmt>
        <c:idx val="14"/>
      </c:pivotFmt>
      <c:pivotFmt>
        <c:idx val="15"/>
        <c:dLbl>
          <c:idx val="0"/>
          <c:showLegendKey val="0"/>
          <c:showVal val="1"/>
          <c:showCatName val="0"/>
          <c:showSerName val="0"/>
          <c:showPercent val="0"/>
          <c:showBubbleSize val="0"/>
          <c:extLst>
            <c:ext xmlns:c15="http://schemas.microsoft.com/office/drawing/2012/chart" uri="{CE6537A1-D6FC-4f65-9D91-7224C49458BB}"/>
          </c:extLst>
        </c:dLbl>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2.3749343832020996E-2"/>
              <c:y val="-2.0744021580635753E-2"/>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showLegendKey val="0"/>
          <c:showVal val="0"/>
          <c:showCatName val="1"/>
          <c:showSerName val="0"/>
          <c:showPercent val="1"/>
          <c:showBubbleSize val="0"/>
          <c:extLst>
            <c:ext xmlns:c15="http://schemas.microsoft.com/office/drawing/2012/chart" uri="{CE6537A1-D6FC-4f65-9D91-7224C49458BB}"/>
          </c:extLst>
        </c:dLbl>
      </c:pivotFmt>
      <c:pivotFmt>
        <c:idx val="1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pPr>
            <a:solidFill>
              <a:schemeClr val="accent1"/>
            </a:solidFill>
            <a:ln w="9525">
              <a:solidFill>
                <a:schemeClr val="l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1"/>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2"/>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3"/>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4"/>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5"/>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6"/>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7"/>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8"/>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29"/>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1"/>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2"/>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3"/>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4"/>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5"/>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6"/>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7"/>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8"/>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9"/>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0"/>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2"/>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3"/>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4"/>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5"/>
        <c:dLbl>
          <c:idx val="0"/>
          <c:layout>
            <c:manualLayout>
              <c:x val="1.6666666666666666E-2"/>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46"/>
        <c:dLbl>
          <c:idx val="0"/>
          <c:layout>
            <c:manualLayout>
              <c:x val="-0.05"/>
              <c:y val="-1.060944534001666E-17"/>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47"/>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8"/>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9"/>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0"/>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1"/>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4"/>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5"/>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6"/>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7"/>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8"/>
        <c:spPr>
          <a:solidFill>
            <a:schemeClr val="accent6"/>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xForSave val="1"/>
            </c:ext>
          </c:extLst>
        </c:dLbl>
      </c:pivotFmt>
      <c:pivotFmt>
        <c:idx val="59"/>
        <c:spPr>
          <a:solidFill>
            <a:schemeClr val="accent1">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xForSave val="1"/>
            </c:ext>
          </c:extLst>
        </c:dLbl>
      </c:pivotFmt>
      <c:pivotFmt>
        <c:idx val="60"/>
        <c:spPr>
          <a:solidFill>
            <a:schemeClr val="accent2">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xForSave val="1"/>
            </c:ext>
          </c:extLst>
        </c:dLbl>
      </c:pivotFmt>
      <c:pivotFmt>
        <c:idx val="61"/>
        <c:spPr>
          <a:solidFill>
            <a:schemeClr val="accent3">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xForSave val="1"/>
            </c:ext>
          </c:extLst>
        </c:dLbl>
      </c:pivotFmt>
      <c:pivotFmt>
        <c:idx val="62"/>
        <c:spPr>
          <a:solidFill>
            <a:schemeClr val="accent4">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7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8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8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8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8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s>
    <c:plotArea>
      <c:layout/>
      <c:doughnutChart>
        <c:varyColors val="1"/>
        <c:ser>
          <c:idx val="0"/>
          <c:order val="0"/>
          <c:tx>
            <c:strRef>
              <c:f>Feuil5!$B$1</c:f>
              <c:strCache>
                <c:ptCount val="1"/>
                <c:pt idx="0">
                  <c:v>Total</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Pt>
            <c:idx val="8"/>
            <c:bubble3D val="0"/>
            <c:spPr>
              <a:solidFill>
                <a:schemeClr val="accent3">
                  <a:lumMod val="60000"/>
                </a:schemeClr>
              </a:solidFill>
              <a:ln>
                <a:noFill/>
              </a:ln>
              <a:effectLst>
                <a:outerShdw blurRad="63500" sx="102000" sy="102000" algn="ctr" rotWithShape="0">
                  <a:prstClr val="black">
                    <a:alpha val="20000"/>
                  </a:prstClr>
                </a:outerShdw>
              </a:effectLst>
            </c:spPr>
          </c:dPt>
          <c:dPt>
            <c:idx val="9"/>
            <c:bubble3D val="0"/>
            <c:spPr>
              <a:solidFill>
                <a:schemeClr val="accent4">
                  <a:lumMod val="60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5">
                  <c:v>2</c:v>
                </c:pt>
                <c:pt idx="6">
                  <c:v>100</c:v>
                </c:pt>
                <c:pt idx="7">
                  <c:v>75</c:v>
                </c:pt>
                <c:pt idx="8">
                  <c:v>125</c:v>
                </c:pt>
              </c:numCache>
            </c:numRef>
          </c:val>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2.xlsx]Feuil3!Tableau croisé dynamique6</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4.884004884004884E-3"/>
              <c:y val="-0.14351851851851852"/>
            </c:manualLayout>
          </c:layout>
          <c:showLegendKey val="0"/>
          <c:showVal val="0"/>
          <c:showCatName val="1"/>
          <c:showSerName val="0"/>
          <c:showPercent val="1"/>
          <c:showBubbleSize val="0"/>
          <c:extLst>
            <c:ext xmlns:c15="http://schemas.microsoft.com/office/drawing/2012/chart" uri="{CE6537A1-D6FC-4f65-9D91-7224C49458BB}"/>
          </c:extLst>
        </c:dLbl>
      </c:pivotFmt>
      <c:pivotFmt>
        <c:idx val="5"/>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dLbl>
          <c:idx val="0"/>
          <c:showLegendKey val="0"/>
          <c:showVal val="0"/>
          <c:showCatName val="1"/>
          <c:showSerName val="0"/>
          <c:showPercent val="1"/>
          <c:showBubbleSize val="0"/>
          <c:extLst>
            <c:ext xmlns:c15="http://schemas.microsoft.com/office/drawing/2012/chart" uri="{CE6537A1-D6FC-4f65-9D91-7224C49458BB}"/>
          </c:extLst>
        </c:dLbl>
      </c:pivotFmt>
      <c:pivotFmt>
        <c:idx val="17"/>
        <c:dLbl>
          <c:idx val="0"/>
          <c:layout>
            <c:manualLayout>
              <c:x val="-5.5241682360326429E-2"/>
              <c:y val="0.1111111111111111"/>
            </c:manualLayout>
          </c:layou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5.2730696798493501E-2"/>
              <c:y val="-0.10185185185185185"/>
            </c:manualLayout>
          </c:layout>
          <c:showLegendKey val="0"/>
          <c:showVal val="0"/>
          <c:showCatName val="1"/>
          <c:showSerName val="0"/>
          <c:showPercent val="1"/>
          <c:showBubbleSize val="0"/>
          <c:extLst>
            <c:ext xmlns:c15="http://schemas.microsoft.com/office/drawing/2012/chart" uri="{CE6537A1-D6FC-4f65-9D91-7224C49458BB}"/>
          </c:extLst>
        </c:dLbl>
      </c:pivotFmt>
      <c:pivotFmt>
        <c:idx val="19"/>
        <c:dLbl>
          <c:idx val="0"/>
          <c:layout>
            <c:manualLayout>
              <c:x val="-0.19334588826114255"/>
              <c:y val="-6.944444444444446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0"/>
        <c:dLbl>
          <c:idx val="0"/>
          <c:layout>
            <c:manualLayout>
              <c:x val="2.2598870056497175E-2"/>
              <c:y val="-9.259259259259260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1"/>
        <c:dLbl>
          <c:idx val="0"/>
          <c:layout>
            <c:manualLayout>
              <c:x val="-5.5241682360326477E-2"/>
              <c:y val="-6.018518518518521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dLbl>
          <c:idx val="0"/>
          <c:showLegendKey val="0"/>
          <c:showVal val="0"/>
          <c:showCatName val="1"/>
          <c:showSerName val="0"/>
          <c:showPercent val="1"/>
          <c:showBubbleSize val="0"/>
          <c:extLst>
            <c:ext xmlns:c15="http://schemas.microsoft.com/office/drawing/2012/chart" uri="{CE6537A1-D6FC-4f65-9D91-7224C49458BB}"/>
          </c:extLst>
        </c:dLbl>
      </c:pivotFmt>
      <c:pivotFmt>
        <c:idx val="24"/>
        <c:dLbl>
          <c:idx val="0"/>
          <c:layout>
            <c:manualLayout>
              <c:x val="-4.294071998062389E-2"/>
              <c:y val="-6.2936351706036744E-2"/>
            </c:manualLayout>
          </c:layout>
          <c:showLegendKey val="0"/>
          <c:showVal val="0"/>
          <c:showCatName val="1"/>
          <c:showSerName val="0"/>
          <c:showPercent val="1"/>
          <c:showBubbleSize val="0"/>
          <c:extLst>
            <c:ext xmlns:c15="http://schemas.microsoft.com/office/drawing/2012/chart" uri="{CE6537A1-D6FC-4f65-9D91-7224C49458BB}"/>
          </c:extLst>
        </c:dLbl>
      </c:pivotFmt>
      <c:pivotFmt>
        <c:idx val="25"/>
        <c:dLbl>
          <c:idx val="0"/>
          <c:showLegendKey val="0"/>
          <c:showVal val="0"/>
          <c:showCatName val="1"/>
          <c:showSerName val="0"/>
          <c:showPercent val="1"/>
          <c:showBubbleSize val="0"/>
          <c:extLst>
            <c:ext xmlns:c15="http://schemas.microsoft.com/office/drawing/2012/chart" uri="{CE6537A1-D6FC-4f65-9D91-7224C49458BB}"/>
          </c:extLst>
        </c:dLbl>
      </c:pivotFmt>
      <c:pivotFmt>
        <c:idx val="26"/>
        <c:dLbl>
          <c:idx val="0"/>
          <c:showLegendKey val="0"/>
          <c:showVal val="1"/>
          <c:showCatName val="0"/>
          <c:showSerName val="0"/>
          <c:showPercent val="0"/>
          <c:showBubbleSize val="0"/>
          <c:extLst>
            <c:ext xmlns:c15="http://schemas.microsoft.com/office/drawing/2012/chart" uri="{CE6537A1-D6FC-4f65-9D91-7224C49458BB}"/>
          </c:extLst>
        </c:dLbl>
      </c:pivotFmt>
      <c:pivotFmt>
        <c:idx val="27"/>
        <c:dLbl>
          <c:idx val="0"/>
          <c:showLegendKey val="0"/>
          <c:showVal val="1"/>
          <c:showCatName val="0"/>
          <c:showSerName val="0"/>
          <c:showPercent val="0"/>
          <c:showBubbleSize val="0"/>
          <c:extLst>
            <c:ext xmlns:c15="http://schemas.microsoft.com/office/drawing/2012/chart" uri="{CE6537A1-D6FC-4f65-9D91-7224C49458BB}"/>
          </c:extLst>
        </c:dLbl>
      </c:pivotFmt>
      <c:pivotFmt>
        <c:idx val="28"/>
        <c:dLbl>
          <c:idx val="0"/>
          <c:showLegendKey val="0"/>
          <c:showVal val="1"/>
          <c:showCatName val="0"/>
          <c:showSerName val="0"/>
          <c:showPercent val="0"/>
          <c:showBubbleSize val="0"/>
          <c:extLst>
            <c:ext xmlns:c15="http://schemas.microsoft.com/office/drawing/2012/chart" uri="{CE6537A1-D6FC-4f65-9D91-7224C49458BB}"/>
          </c:extLst>
        </c:dLbl>
      </c:pivotFmt>
      <c:pivotFmt>
        <c:idx val="29"/>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0"/>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1"/>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2"/>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3"/>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4"/>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5"/>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6"/>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7"/>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8"/>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9"/>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4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5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5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54"/>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5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5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5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58"/>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59"/>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1"/>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6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6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7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7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7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8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8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8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
        <c:idx val="8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pivotFmt>
    </c:pivotFmts>
    <c:plotArea>
      <c:layout/>
      <c:pieChart>
        <c:varyColors val="1"/>
        <c:ser>
          <c:idx val="0"/>
          <c:order val="0"/>
          <c:tx>
            <c:strRef>
              <c:f>Feuil3!$B$1</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3"/>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1056</c:v>
                </c:pt>
                <c:pt idx="1">
                  <c:v>76</c:v>
                </c:pt>
                <c:pt idx="3">
                  <c:v>4</c:v>
                </c:pt>
                <c:pt idx="4">
                  <c:v>113</c:v>
                </c:pt>
                <c:pt idx="5">
                  <c:v>11</c:v>
                </c:pt>
                <c:pt idx="7">
                  <c:v>54</c:v>
                </c:pt>
                <c:pt idx="8">
                  <c:v>26</c:v>
                </c:pt>
                <c:pt idx="9">
                  <c:v>88</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2"/>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1"/>
          <c:showSerName val="0"/>
          <c:showPercent val="1"/>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1"/>
          <c:showSerName val="0"/>
          <c:showPercent val="1"/>
          <c:showBubbleSize val="0"/>
          <c:extLst>
            <c:ext xmlns:c15="http://schemas.microsoft.com/office/drawing/2012/chart" uri="{CE6537A1-D6FC-4f65-9D91-7224C49458BB}"/>
          </c:extLst>
        </c:dLbl>
      </c:pivotFmt>
      <c:pivotFmt>
        <c:idx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1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1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extLst>
            <c:ext xmlns:c15="http://schemas.microsoft.com/office/drawing/2012/chart" uri="{CE6537A1-D6FC-4f65-9D91-7224C49458BB}"/>
          </c:extLst>
        </c:dLbl>
      </c:pivotFmt>
      <c:pivotFmt>
        <c:idx val="1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2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2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2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2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2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Feuil6!$B$1</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1"/>
              <c:showSerName val="0"/>
              <c:showPercent val="1"/>
              <c:showBubbleSize val="0"/>
              <c:extLst>
                <c:ext xmlns:c15="http://schemas.microsoft.com/office/drawing/2012/chart" uri="{CE6537A1-D6FC-4f65-9D91-7224C49458BB}"/>
              </c:extLst>
            </c:dLbl>
            <c:dLbl>
              <c:idx val="1"/>
              <c:layout>
                <c:manualLayout>
                  <c:x val="1.8333333333333329E-3"/>
                  <c:y val="7.1875911344415283E-3"/>
                </c:manualLayout>
              </c:layout>
              <c:showLegendKey val="0"/>
              <c:showVal val="1"/>
              <c:showCatName val="1"/>
              <c:showSerName val="0"/>
              <c:showPercent val="1"/>
              <c:showBubbleSize val="0"/>
              <c:separator>
</c:separator>
              <c:extLst>
                <c:ext xmlns:c15="http://schemas.microsoft.com/office/drawing/2012/chart" uri="{CE6537A1-D6FC-4f65-9D91-7224C49458BB}"/>
              </c:extLst>
            </c:dLbl>
            <c:dLbl>
              <c:idx val="3"/>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extLst>
                <c:ext xmlns:c15="http://schemas.microsoft.com/office/drawing/2012/chart" uri="{CE6537A1-D6FC-4f65-9D91-7224C49458BB}"/>
              </c:extLst>
            </c:dLbl>
            <c:dLbl>
              <c:idx val="4"/>
              <c:layout>
                <c:manualLayout>
                  <c:x val="-1.635094050743657E-2"/>
                  <c:y val="-0.11088655584718576"/>
                </c:manualLayout>
              </c:layout>
              <c:showLegendKey val="0"/>
              <c:showVal val="1"/>
              <c:showCatName val="1"/>
              <c:showSerName val="0"/>
              <c:showPercent val="1"/>
              <c:showBubbleSize val="0"/>
              <c:separator>
</c:separator>
              <c:extLst>
                <c:ext xmlns:c15="http://schemas.microsoft.com/office/drawing/2012/chart" uri="{CE6537A1-D6FC-4f65-9D91-7224C49458BB}"/>
              </c:extLst>
            </c:dLbl>
            <c:dLbl>
              <c:idx val="8"/>
              <c:layout>
                <c:manualLayout>
                  <c:x val="2.7661198600174977E-2"/>
                  <c:y val="1.1574074074074073E-3"/>
                </c:manualLayout>
              </c:layout>
              <c:showLegendKey val="0"/>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0">
                  <c:v>16876</c:v>
                </c:pt>
                <c:pt idx="1">
                  <c:v>709</c:v>
                </c:pt>
                <c:pt idx="3">
                  <c:v>80</c:v>
                </c:pt>
                <c:pt idx="4">
                  <c:v>1061</c:v>
                </c:pt>
                <c:pt idx="5">
                  <c:v>1879</c:v>
                </c:pt>
                <c:pt idx="6">
                  <c:v>172</c:v>
                </c:pt>
                <c:pt idx="7">
                  <c:v>784</c:v>
                </c:pt>
                <c:pt idx="8">
                  <c:v>648</c:v>
                </c:pt>
                <c:pt idx="9">
                  <c:v>1630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spPr>
          <a:gradFill flip="none" rotWithShape="1">
            <a:gsLst>
              <a:gs pos="100000">
                <a:schemeClr val="accent1">
                  <a:alpha val="0"/>
                </a:schemeClr>
              </a:gs>
              <a:gs pos="50000">
                <a:schemeClr val="accent1"/>
              </a:gs>
            </a:gsLst>
            <a:lin ang="5400000" scaled="0"/>
          </a:gradFill>
          <a:ln>
            <a:noFill/>
          </a:ln>
          <a:effectLst/>
          <a:sp3d/>
        </c:spPr>
        <c:marker>
          <c:symbol val="circle"/>
          <c:size val="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w="9525" cap="flat" cmpd="sng" algn="ctr">
              <a:solidFill>
                <a:schemeClr val="accent1">
                  <a:shade val="95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flip="none" rotWithShape="1">
            <a:gsLst>
              <a:gs pos="100000">
                <a:schemeClr val="accent1">
                  <a:alpha val="0"/>
                </a:schemeClr>
              </a:gs>
              <a:gs pos="50000">
                <a:schemeClr val="accent1"/>
              </a:gs>
            </a:gsLst>
            <a:lin ang="5400000" scaled="0"/>
          </a:gra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flip="none" rotWithShape="1">
            <a:gsLst>
              <a:gs pos="100000">
                <a:schemeClr val="accent1">
                  <a:alpha val="0"/>
                </a:schemeClr>
              </a:gs>
              <a:gs pos="50000">
                <a:schemeClr val="accent1"/>
              </a:gs>
            </a:gsLst>
            <a:lin ang="5400000" scaled="0"/>
          </a:gra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Feuil6!$B$1</c:f>
              <c:strCache>
                <c:ptCount val="1"/>
                <c:pt idx="0">
                  <c:v>Total</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1">
                  <c:v>106</c:v>
                </c:pt>
                <c:pt idx="8">
                  <c:v>306</c:v>
                </c:pt>
              </c:numCache>
            </c:numRef>
          </c:val>
        </c:ser>
        <c:dLbls>
          <c:showLegendKey val="0"/>
          <c:showVal val="1"/>
          <c:showCatName val="0"/>
          <c:showSerName val="0"/>
          <c:showPercent val="0"/>
          <c:showBubbleSize val="0"/>
        </c:dLbls>
        <c:gapWidth val="150"/>
        <c:gapDepth val="0"/>
        <c:shape val="box"/>
        <c:axId val="741239008"/>
        <c:axId val="741239400"/>
        <c:axId val="0"/>
      </c:bar3DChart>
      <c:catAx>
        <c:axId val="741239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41239400"/>
        <c:crosses val="autoZero"/>
        <c:auto val="1"/>
        <c:lblAlgn val="ctr"/>
        <c:lblOffset val="100"/>
        <c:noMultiLvlLbl val="0"/>
      </c:catAx>
      <c:valAx>
        <c:axId val="74123940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4123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spPr>
          <a:gradFill flip="none" rotWithShape="1">
            <a:gsLst>
              <a:gs pos="100000">
                <a:schemeClr val="accent1">
                  <a:alpha val="0"/>
                </a:schemeClr>
              </a:gs>
              <a:gs pos="50000">
                <a:schemeClr val="accent1"/>
              </a:gs>
            </a:gsLst>
            <a:lin ang="5400000" scaled="0"/>
          </a:gradFill>
          <a:ln>
            <a:noFill/>
          </a:ln>
          <a:effectLst/>
          <a:sp3d/>
        </c:spPr>
        <c:marker>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w="9525" cap="flat" cmpd="sng" algn="ctr">
              <a:solidFill>
                <a:schemeClr val="accent1">
                  <a:shade val="95000"/>
                </a:schemeClr>
              </a:solidFill>
              <a:round/>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4"/>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spPr>
          <a:gradFill flip="none" rotWithShape="1">
            <a:gsLst>
              <a:gs pos="0">
                <a:schemeClr val="accent3">
                  <a:lumMod val="60000"/>
                </a:schemeClr>
              </a:gs>
              <a:gs pos="75000">
                <a:schemeClr val="accent3">
                  <a:lumMod val="60000"/>
                  <a:lumMod val="60000"/>
                  <a:lumOff val="40000"/>
                </a:schemeClr>
              </a:gs>
              <a:gs pos="51000">
                <a:schemeClr val="accent3">
                  <a:lumMod val="60000"/>
                  <a:alpha val="75000"/>
                </a:schemeClr>
              </a:gs>
              <a:gs pos="100000">
                <a:schemeClr val="accent3">
                  <a:lumMod val="60000"/>
                  <a:lumMod val="20000"/>
                  <a:lumOff val="80000"/>
                  <a:alpha val="15000"/>
                </a:schemeClr>
              </a:gs>
            </a:gsLst>
            <a:lin ang="5400000" scaled="0"/>
          </a:gradFill>
          <a:ln>
            <a:noFill/>
          </a:ln>
          <a:effectLst/>
        </c:spPr>
        <c:dLbl>
          <c:idx val="0"/>
          <c:layout>
            <c:manualLayout>
              <c:x val="0.10458497375328084"/>
              <c:y val="-0.2044768883056284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8"/>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9"/>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1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11"/>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12"/>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13"/>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14"/>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15"/>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dLbl>
          <c:idx val="0"/>
          <c:layout>
            <c:manualLayout>
              <c:x val="0.10458497375328084"/>
              <c:y val="-0.2044768883056284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1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17"/>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18"/>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19"/>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1"/>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2"/>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3"/>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4"/>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5"/>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
        <c:idx val="2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dLbl>
          <c:idx val="0"/>
          <c:layout>
            <c:manualLayout>
              <c:x val="0.10458497375328084"/>
              <c:y val="-0.2044768883056284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27"/>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pivotFmt>
    </c:pivotFmts>
    <c:plotArea>
      <c:layout/>
      <c:pieChart>
        <c:varyColors val="1"/>
        <c:ser>
          <c:idx val="0"/>
          <c:order val="0"/>
          <c:tx>
            <c:strRef>
              <c:f>Feuil6!$B$1</c:f>
              <c:strCache>
                <c:ptCount val="1"/>
                <c:pt idx="0">
                  <c:v>Total</c:v>
                </c:pt>
              </c:strCache>
            </c:strRef>
          </c:tx>
          <c:dPt>
            <c:idx val="0"/>
            <c:bubble3D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dPt>
          <c:dPt>
            <c:idx val="1"/>
            <c:bubble3D val="0"/>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dPt>
          <c:dPt>
            <c:idx val="2"/>
            <c:bubble3D val="0"/>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dPt>
          <c:dPt>
            <c:idx val="3"/>
            <c:bubble3D val="0"/>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dPt>
          <c:dPt>
            <c:idx val="4"/>
            <c:bubble3D val="0"/>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dPt>
          <c:dPt>
            <c:idx val="5"/>
            <c:bubble3D val="0"/>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dPt>
          <c:dPt>
            <c:idx val="6"/>
            <c:bubble3D val="0"/>
            <c:spPr>
              <a:gradFill flip="none" rotWithShape="1">
                <a:gsLst>
                  <a:gs pos="0">
                    <a:schemeClr val="accent1">
                      <a:lumMod val="60000"/>
                    </a:schemeClr>
                  </a:gs>
                  <a:gs pos="75000">
                    <a:schemeClr val="accent1">
                      <a:lumMod val="60000"/>
                      <a:lumMod val="60000"/>
                      <a:lumOff val="40000"/>
                    </a:schemeClr>
                  </a:gs>
                  <a:gs pos="51000">
                    <a:schemeClr val="accent1">
                      <a:lumMod val="60000"/>
                      <a:alpha val="75000"/>
                    </a:schemeClr>
                  </a:gs>
                  <a:gs pos="100000">
                    <a:schemeClr val="accent1">
                      <a:lumMod val="60000"/>
                      <a:lumMod val="20000"/>
                      <a:lumOff val="80000"/>
                      <a:alpha val="15000"/>
                    </a:schemeClr>
                  </a:gs>
                </a:gsLst>
                <a:lin ang="5400000" scaled="0"/>
              </a:gradFill>
              <a:ln>
                <a:noFill/>
              </a:ln>
              <a:effectLst/>
            </c:spPr>
          </c:dPt>
          <c:dPt>
            <c:idx val="7"/>
            <c:bubble3D val="0"/>
            <c:spPr>
              <a:gradFill flip="none" rotWithShape="1">
                <a:gsLst>
                  <a:gs pos="0">
                    <a:schemeClr val="accent2">
                      <a:lumMod val="60000"/>
                    </a:schemeClr>
                  </a:gs>
                  <a:gs pos="75000">
                    <a:schemeClr val="accent2">
                      <a:lumMod val="60000"/>
                      <a:lumMod val="60000"/>
                      <a:lumOff val="40000"/>
                    </a:schemeClr>
                  </a:gs>
                  <a:gs pos="51000">
                    <a:schemeClr val="accent2">
                      <a:lumMod val="60000"/>
                      <a:alpha val="75000"/>
                    </a:schemeClr>
                  </a:gs>
                  <a:gs pos="100000">
                    <a:schemeClr val="accent2">
                      <a:lumMod val="60000"/>
                      <a:lumMod val="20000"/>
                      <a:lumOff val="80000"/>
                      <a:alpha val="15000"/>
                    </a:schemeClr>
                  </a:gs>
                </a:gsLst>
                <a:lin ang="5400000" scaled="0"/>
              </a:gradFill>
              <a:ln>
                <a:noFill/>
              </a:ln>
              <a:effectLst/>
            </c:spPr>
          </c:dPt>
          <c:dPt>
            <c:idx val="8"/>
            <c:bubble3D val="0"/>
            <c:spPr>
              <a:gradFill flip="none" rotWithShape="1">
                <a:gsLst>
                  <a:gs pos="0">
                    <a:schemeClr val="accent3">
                      <a:lumMod val="60000"/>
                    </a:schemeClr>
                  </a:gs>
                  <a:gs pos="75000">
                    <a:schemeClr val="accent3">
                      <a:lumMod val="60000"/>
                      <a:lumMod val="60000"/>
                      <a:lumOff val="40000"/>
                    </a:schemeClr>
                  </a:gs>
                  <a:gs pos="51000">
                    <a:schemeClr val="accent3">
                      <a:lumMod val="60000"/>
                      <a:alpha val="75000"/>
                    </a:schemeClr>
                  </a:gs>
                  <a:gs pos="100000">
                    <a:schemeClr val="accent3">
                      <a:lumMod val="60000"/>
                      <a:lumMod val="20000"/>
                      <a:lumOff val="80000"/>
                      <a:alpha val="15000"/>
                    </a:schemeClr>
                  </a:gs>
                </a:gsLst>
                <a:lin ang="5400000" scaled="0"/>
              </a:gradFill>
              <a:ln>
                <a:noFill/>
              </a:ln>
              <a:effectLst/>
            </c:spPr>
          </c:dPt>
          <c:dPt>
            <c:idx val="9"/>
            <c:bubble3D val="0"/>
            <c:spPr>
              <a:gradFill flip="none" rotWithShape="1">
                <a:gsLst>
                  <a:gs pos="0">
                    <a:schemeClr val="accent4">
                      <a:lumMod val="60000"/>
                    </a:schemeClr>
                  </a:gs>
                  <a:gs pos="75000">
                    <a:schemeClr val="accent4">
                      <a:lumMod val="60000"/>
                      <a:lumMod val="60000"/>
                      <a:lumOff val="40000"/>
                    </a:schemeClr>
                  </a:gs>
                  <a:gs pos="51000">
                    <a:schemeClr val="accent4">
                      <a:lumMod val="60000"/>
                      <a:alpha val="75000"/>
                    </a:schemeClr>
                  </a:gs>
                  <a:gs pos="100000">
                    <a:schemeClr val="accent4">
                      <a:lumMod val="60000"/>
                      <a:lumMod val="20000"/>
                      <a:lumOff val="80000"/>
                      <a:alpha val="15000"/>
                    </a:schemeClr>
                  </a:gs>
                </a:gsLst>
                <a:lin ang="5400000" scaled="0"/>
              </a:gradFill>
              <a:ln>
                <a:noFill/>
              </a:ln>
              <a:effectLst/>
            </c:spPr>
          </c:dPt>
          <c:dLbls>
            <c:dLbl>
              <c:idx val="8"/>
              <c:layout>
                <c:manualLayout>
                  <c:x val="0.10458497375328084"/>
                  <c:y val="-0.2044768883056284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1">
                  <c:v>157</c:v>
                </c:pt>
                <c:pt idx="3">
                  <c:v>47</c:v>
                </c:pt>
                <c:pt idx="4">
                  <c:v>115</c:v>
                </c:pt>
                <c:pt idx="6">
                  <c:v>146</c:v>
                </c:pt>
                <c:pt idx="7">
                  <c:v>200</c:v>
                </c:pt>
                <c:pt idx="8">
                  <c:v>1703</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dLbl>
          <c:idx val="0"/>
          <c:layout>
            <c:manualLayout>
              <c:x val="0.10458497375328084"/>
              <c:y val="-0.20447688830562846"/>
            </c:manualLayout>
          </c:layout>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circle"/>
          <c:size val="4"/>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9"/>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1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1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12"/>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13"/>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1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1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16"/>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17"/>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18"/>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19"/>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2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2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22"/>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23"/>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2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2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26"/>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27"/>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
        <c:idx val="28"/>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pivotFmt>
    </c:pivotFmts>
    <c:plotArea>
      <c:layout/>
      <c:doughnutChart>
        <c:varyColors val="1"/>
        <c:ser>
          <c:idx val="0"/>
          <c:order val="0"/>
          <c:tx>
            <c:strRef>
              <c:f>Feuil6!$B$1</c:f>
              <c:strCache>
                <c:ptCount val="1"/>
                <c:pt idx="0">
                  <c:v>Total</c:v>
                </c:pt>
              </c:strCache>
            </c:strRef>
          </c:tx>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1"/>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2"/>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dPt>
          <c:dPt>
            <c:idx val="3"/>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dPt>
          <c:dPt>
            <c:idx val="4"/>
            <c:bubble3D val="0"/>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dPt>
          <c:dPt>
            <c:idx val="5"/>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dPt>
          <c:dPt>
            <c:idx val="6"/>
            <c:bubble3D val="0"/>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dPt>
          <c:dPt>
            <c:idx val="7"/>
            <c:bubble3D val="0"/>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w="9525" cap="flat" cmpd="sng" algn="ctr">
                <a:solidFill>
                  <a:schemeClr val="accent4">
                    <a:lumMod val="80000"/>
                    <a:lumOff val="20000"/>
                    <a:shade val="95000"/>
                  </a:schemeClr>
                </a:solidFill>
                <a:round/>
              </a:ln>
              <a:effectLst/>
            </c:spPr>
          </c:dPt>
          <c:dPt>
            <c:idx val="8"/>
            <c:bubble3D val="0"/>
            <c:spPr>
              <a:gradFill rotWithShape="1">
                <a:gsLst>
                  <a:gs pos="0">
                    <a:schemeClr val="accent6">
                      <a:lumMod val="80000"/>
                      <a:lumOff val="20000"/>
                      <a:lumMod val="110000"/>
                      <a:satMod val="105000"/>
                      <a:tint val="67000"/>
                    </a:schemeClr>
                  </a:gs>
                  <a:gs pos="50000">
                    <a:schemeClr val="accent6">
                      <a:lumMod val="80000"/>
                      <a:lumOff val="20000"/>
                      <a:lumMod val="105000"/>
                      <a:satMod val="103000"/>
                      <a:tint val="73000"/>
                    </a:schemeClr>
                  </a:gs>
                  <a:gs pos="100000">
                    <a:schemeClr val="accent6">
                      <a:lumMod val="80000"/>
                      <a:lumOff val="20000"/>
                      <a:lumMod val="105000"/>
                      <a:satMod val="109000"/>
                      <a:tint val="81000"/>
                    </a:schemeClr>
                  </a:gs>
                </a:gsLst>
                <a:lin ang="5400000" scaled="0"/>
              </a:gradFill>
              <a:ln w="9525" cap="flat" cmpd="sng" algn="ctr">
                <a:solidFill>
                  <a:schemeClr val="accent6">
                    <a:lumMod val="80000"/>
                    <a:lumOff val="20000"/>
                    <a:shade val="95000"/>
                  </a:schemeClr>
                </a:solidFill>
                <a:round/>
              </a:ln>
              <a:effectLst/>
            </c:spPr>
          </c:dPt>
          <c:dPt>
            <c:idx val="9"/>
            <c:bubble3D val="0"/>
            <c:spPr>
              <a:gradFill rotWithShape="1">
                <a:gsLst>
                  <a:gs pos="0">
                    <a:schemeClr val="accent2">
                      <a:lumMod val="80000"/>
                      <a:lumMod val="110000"/>
                      <a:satMod val="105000"/>
                      <a:tint val="67000"/>
                    </a:schemeClr>
                  </a:gs>
                  <a:gs pos="50000">
                    <a:schemeClr val="accent2">
                      <a:lumMod val="80000"/>
                      <a:lumMod val="105000"/>
                      <a:satMod val="103000"/>
                      <a:tint val="73000"/>
                    </a:schemeClr>
                  </a:gs>
                  <a:gs pos="100000">
                    <a:schemeClr val="accent2">
                      <a:lumMod val="80000"/>
                      <a:lumMod val="105000"/>
                      <a:satMod val="109000"/>
                      <a:tint val="81000"/>
                    </a:schemeClr>
                  </a:gs>
                </a:gsLst>
                <a:lin ang="5400000" scaled="0"/>
              </a:gradFill>
              <a:ln w="9525" cap="flat" cmpd="sng" algn="ctr">
                <a:solidFill>
                  <a:schemeClr val="accent2">
                    <a:lumMod val="80000"/>
                    <a:shade val="95000"/>
                  </a:schemeClr>
                </a:solidFill>
                <a:round/>
              </a:ln>
              <a:effectLst/>
            </c:spPr>
          </c:dPt>
          <c:dLbls>
            <c:dLbl>
              <c:idx val="3"/>
              <c:layout>
                <c:manualLayout>
                  <c:x val="9.7222222222222224E-2"/>
                  <c:y val="-7.8703703703703706E-2"/>
                </c:manualLayout>
              </c:layout>
              <c:showLegendKey val="0"/>
              <c:showVal val="1"/>
              <c:showCatName val="1"/>
              <c:showSerName val="0"/>
              <c:showPercent val="1"/>
              <c:showBubbleSize val="0"/>
              <c:separator>
</c:separator>
              <c:extLst>
                <c:ext xmlns:c15="http://schemas.microsoft.com/office/drawing/2012/chart" uri="{CE6537A1-D6FC-4f65-9D91-7224C49458BB}"/>
              </c:extLst>
            </c:dLbl>
            <c:dLbl>
              <c:idx val="6"/>
              <c:layout>
                <c:manualLayout>
                  <c:x val="9.166666666666666E-2"/>
                  <c:y val="3.2407407407407406E-2"/>
                </c:manualLayout>
              </c:layout>
              <c:showLegendKey val="0"/>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fr-FR"/>
              </a:p>
            </c:txPr>
            <c:showLegendKey val="0"/>
            <c:showVal val="1"/>
            <c:showCatName val="1"/>
            <c:showSerName val="0"/>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1">
                  <c:v>189</c:v>
                </c:pt>
                <c:pt idx="3">
                  <c:v>38</c:v>
                </c:pt>
                <c:pt idx="4">
                  <c:v>435</c:v>
                </c:pt>
                <c:pt idx="6">
                  <c:v>106</c:v>
                </c:pt>
                <c:pt idx="7">
                  <c:v>621</c:v>
                </c:pt>
                <c:pt idx="8">
                  <c:v>600</c:v>
                </c:pt>
                <c:pt idx="9">
                  <c:v>657</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dLbl>
          <c:idx val="0"/>
          <c:layout>
            <c:manualLayout>
              <c:x val="0.10458497375328084"/>
              <c:y val="-0.20447688830562846"/>
            </c:manualLayout>
          </c:layout>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circle"/>
          <c:size val="6"/>
        </c:marke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9"/>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1"/>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2"/>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3"/>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4"/>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5"/>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6"/>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7"/>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8"/>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none"/>
        </c:marke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19"/>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1"/>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2"/>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3"/>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4"/>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5"/>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6"/>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7"/>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8"/>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29"/>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marker>
          <c:symbol val="none"/>
        </c:marke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31"/>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32"/>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33"/>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34"/>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35"/>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36"/>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37"/>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38"/>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
        <c:idx val="39"/>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Feuil6!$B$1</c:f>
              <c:strCache>
                <c:ptCount val="1"/>
                <c:pt idx="0">
                  <c:v>Total</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dPt>
          <c:dPt>
            <c:idx val="9"/>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dPt>
          <c:dLbls>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dLbl>
              <c:idx val="1"/>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dLbl>
              <c:idx val="2"/>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dLbl>
              <c:idx val="3"/>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dLbl>
              <c:idx val="4"/>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dLbl>
              <c:idx val="5"/>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dLbl>
              <c:idx val="6"/>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dLbl>
              <c:idx val="7"/>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dLbl>
              <c:idx val="8"/>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60000"/>
                        </a:schemeClr>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dLbl>
              <c:idx val="9"/>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fr-FR"/>
                </a:p>
              </c:txPr>
              <c:dLblPos val="inEnd"/>
              <c:showLegendKey val="0"/>
              <c:showVal val="1"/>
              <c:showCatName val="1"/>
              <c:showSerName val="0"/>
              <c:showPercent val="1"/>
              <c:showBubbleSize val="0"/>
              <c:extLst>
                <c:ext xmlns:c15="http://schemas.microsoft.com/office/drawing/2012/chart" uri="{CE6537A1-D6FC-4f65-9D91-7224C49458BB}"/>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fr-FR"/>
              </a:p>
            </c:txPr>
            <c:dLblPos val="inEnd"/>
            <c:showLegendKey val="0"/>
            <c:showVal val="1"/>
            <c:showCatName val="1"/>
            <c:showSerName val="0"/>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1">
                  <c:v>752</c:v>
                </c:pt>
                <c:pt idx="6">
                  <c:v>309</c:v>
                </c:pt>
                <c:pt idx="8">
                  <c:v>656</c:v>
                </c:pt>
                <c:pt idx="9">
                  <c:v>956</c:v>
                </c:pt>
              </c:numCache>
            </c:numRef>
          </c:val>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dLbl>
          <c:idx val="0"/>
          <c:layout>
            <c:manualLayout>
              <c:x val="0.10458497375328084"/>
              <c:y val="-0.20447688830562846"/>
            </c:manualLayout>
          </c:layout>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dLbl>
          <c:idx val="0"/>
          <c:dLblPos val="in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9"/>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0"/>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1"/>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2"/>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3"/>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4"/>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5"/>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6"/>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7"/>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8"/>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19"/>
        <c:spPr>
          <a:solidFill>
            <a:schemeClr val="accent1"/>
          </a:solidFill>
          <a:ln>
            <a:noFill/>
          </a:ln>
          <a:effectLst>
            <a:outerShdw blurRad="317500" algn="ctr" rotWithShape="0">
              <a:prstClr val="black">
                <a:alpha val="25000"/>
              </a:prstClr>
            </a:outerShdw>
          </a:effectLst>
        </c:spPr>
      </c:pivotFmt>
      <c:pivotFmt>
        <c:idx val="20"/>
        <c:spPr>
          <a:solidFill>
            <a:schemeClr val="accent2"/>
          </a:solidFill>
          <a:ln>
            <a:noFill/>
          </a:ln>
          <a:effectLst>
            <a:outerShdw blurRad="317500" algn="ctr" rotWithShape="0">
              <a:prstClr val="black">
                <a:alpha val="25000"/>
              </a:prstClr>
            </a:outerShdw>
          </a:effectLst>
        </c:spPr>
      </c:pivotFmt>
      <c:pivotFmt>
        <c:idx val="21"/>
        <c:spPr>
          <a:solidFill>
            <a:schemeClr val="accent3"/>
          </a:solidFill>
          <a:ln>
            <a:noFill/>
          </a:ln>
          <a:effectLst>
            <a:outerShdw blurRad="317500" algn="ctr" rotWithShape="0">
              <a:prstClr val="black">
                <a:alpha val="25000"/>
              </a:prstClr>
            </a:outerShdw>
          </a:effectLst>
        </c:spPr>
      </c:pivotFmt>
      <c:pivotFmt>
        <c:idx val="22"/>
        <c:spPr>
          <a:solidFill>
            <a:schemeClr val="accent4"/>
          </a:solidFill>
          <a:ln>
            <a:noFill/>
          </a:ln>
          <a:effectLst>
            <a:outerShdw blurRad="317500" algn="ctr" rotWithShape="0">
              <a:prstClr val="black">
                <a:alpha val="25000"/>
              </a:prstClr>
            </a:outerShdw>
          </a:effectLst>
        </c:spPr>
      </c:pivotFmt>
      <c:pivotFmt>
        <c:idx val="23"/>
        <c:spPr>
          <a:solidFill>
            <a:schemeClr val="accent5"/>
          </a:solidFill>
          <a:ln>
            <a:noFill/>
          </a:ln>
          <a:effectLst>
            <a:outerShdw blurRad="317500" algn="ctr" rotWithShape="0">
              <a:prstClr val="black">
                <a:alpha val="25000"/>
              </a:prstClr>
            </a:outerShdw>
          </a:effectLst>
        </c:spPr>
      </c:pivotFmt>
      <c:pivotFmt>
        <c:idx val="24"/>
        <c:spPr>
          <a:solidFill>
            <a:schemeClr val="accent6"/>
          </a:solidFill>
          <a:ln>
            <a:noFill/>
          </a:ln>
          <a:effectLst>
            <a:outerShdw blurRad="317500" algn="ctr" rotWithShape="0">
              <a:prstClr val="black">
                <a:alpha val="25000"/>
              </a:prstClr>
            </a:outerShdw>
          </a:effectLst>
        </c:spPr>
      </c:pivotFmt>
      <c:pivotFmt>
        <c:idx val="25"/>
        <c:spPr>
          <a:solidFill>
            <a:schemeClr val="accent1">
              <a:lumMod val="60000"/>
            </a:schemeClr>
          </a:solidFill>
          <a:ln>
            <a:noFill/>
          </a:ln>
          <a:effectLst>
            <a:outerShdw blurRad="317500" algn="ctr" rotWithShape="0">
              <a:prstClr val="black">
                <a:alpha val="25000"/>
              </a:prstClr>
            </a:outerShdw>
          </a:effectLst>
        </c:spPr>
      </c:pivotFmt>
      <c:pivotFmt>
        <c:idx val="26"/>
        <c:spPr>
          <a:solidFill>
            <a:schemeClr val="accent2">
              <a:lumMod val="60000"/>
            </a:schemeClr>
          </a:solidFill>
          <a:ln>
            <a:noFill/>
          </a:ln>
          <a:effectLst>
            <a:outerShdw blurRad="317500" algn="ctr" rotWithShape="0">
              <a:prstClr val="black">
                <a:alpha val="25000"/>
              </a:prstClr>
            </a:outerShdw>
          </a:effectLst>
        </c:spPr>
      </c:pivotFmt>
      <c:pivotFmt>
        <c:idx val="27"/>
        <c:spPr>
          <a:solidFill>
            <a:schemeClr val="accent3">
              <a:lumMod val="60000"/>
            </a:schemeClr>
          </a:solidFill>
          <a:ln>
            <a:noFill/>
          </a:ln>
          <a:effectLst>
            <a:outerShdw blurRad="317500" algn="ctr" rotWithShape="0">
              <a:prstClr val="black">
                <a:alpha val="25000"/>
              </a:prstClr>
            </a:outerShdw>
          </a:effectLst>
        </c:spPr>
      </c:pivotFmt>
      <c:pivotFmt>
        <c:idx val="28"/>
        <c:spPr>
          <a:solidFill>
            <a:schemeClr val="accent4">
              <a:lumMod val="60000"/>
            </a:schemeClr>
          </a:solidFill>
          <a:ln>
            <a:noFill/>
          </a:ln>
          <a:effectLst>
            <a:outerShdw blurRad="317500" algn="ctr" rotWithShape="0">
              <a:prstClr val="black">
                <a:alpha val="25000"/>
              </a:prstClr>
            </a:outerShdw>
          </a:effectLst>
        </c:spPr>
      </c:pivotFmt>
      <c:pivotFmt>
        <c:idx val="29"/>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30"/>
        <c:spPr>
          <a:solidFill>
            <a:schemeClr val="accent1"/>
          </a:solidFill>
          <a:ln>
            <a:noFill/>
          </a:ln>
          <a:effectLst>
            <a:outerShdw blurRad="317500" algn="ctr" rotWithShape="0">
              <a:prstClr val="black">
                <a:alpha val="25000"/>
              </a:prstClr>
            </a:outerShdw>
          </a:effectLst>
        </c:spPr>
      </c:pivotFmt>
      <c:pivotFmt>
        <c:idx val="31"/>
        <c:spPr>
          <a:solidFill>
            <a:schemeClr val="accent1"/>
          </a:solidFill>
          <a:ln>
            <a:noFill/>
          </a:ln>
          <a:effectLst>
            <a:outerShdw blurRad="317500" algn="ctr" rotWithShape="0">
              <a:prstClr val="black">
                <a:alpha val="25000"/>
              </a:prstClr>
            </a:outerShdw>
          </a:effectLst>
        </c:spPr>
      </c:pivotFmt>
      <c:pivotFmt>
        <c:idx val="32"/>
        <c:spPr>
          <a:solidFill>
            <a:schemeClr val="accent1"/>
          </a:solidFill>
          <a:ln>
            <a:noFill/>
          </a:ln>
          <a:effectLst>
            <a:outerShdw blurRad="317500" algn="ctr" rotWithShape="0">
              <a:prstClr val="black">
                <a:alpha val="25000"/>
              </a:prstClr>
            </a:outerShdw>
          </a:effectLst>
        </c:spPr>
      </c:pivotFmt>
      <c:pivotFmt>
        <c:idx val="33"/>
        <c:spPr>
          <a:solidFill>
            <a:schemeClr val="accent1"/>
          </a:solidFill>
          <a:ln>
            <a:noFill/>
          </a:ln>
          <a:effectLst>
            <a:outerShdw blurRad="317500" algn="ctr" rotWithShape="0">
              <a:prstClr val="black">
                <a:alpha val="25000"/>
              </a:prstClr>
            </a:outerShdw>
          </a:effectLst>
        </c:spPr>
      </c:pivotFmt>
      <c:pivotFmt>
        <c:idx val="34"/>
        <c:spPr>
          <a:solidFill>
            <a:schemeClr val="accent1"/>
          </a:solidFill>
          <a:ln>
            <a:noFill/>
          </a:ln>
          <a:effectLst>
            <a:outerShdw blurRad="317500" algn="ctr" rotWithShape="0">
              <a:prstClr val="black">
                <a:alpha val="25000"/>
              </a:prstClr>
            </a:outerShdw>
          </a:effectLst>
        </c:spPr>
      </c:pivotFmt>
      <c:pivotFmt>
        <c:idx val="35"/>
        <c:spPr>
          <a:solidFill>
            <a:schemeClr val="accent1"/>
          </a:solidFill>
          <a:ln>
            <a:noFill/>
          </a:ln>
          <a:effectLst>
            <a:outerShdw blurRad="317500" algn="ctr" rotWithShape="0">
              <a:prstClr val="black">
                <a:alpha val="25000"/>
              </a:prstClr>
            </a:outerShdw>
          </a:effectLst>
        </c:spPr>
      </c:pivotFmt>
      <c:pivotFmt>
        <c:idx val="36"/>
        <c:spPr>
          <a:solidFill>
            <a:schemeClr val="accent1"/>
          </a:solidFill>
          <a:ln>
            <a:noFill/>
          </a:ln>
          <a:effectLst>
            <a:outerShdw blurRad="317500" algn="ctr" rotWithShape="0">
              <a:prstClr val="black">
                <a:alpha val="25000"/>
              </a:prstClr>
            </a:outerShdw>
          </a:effectLst>
        </c:spPr>
      </c:pivotFmt>
      <c:pivotFmt>
        <c:idx val="37"/>
        <c:spPr>
          <a:solidFill>
            <a:schemeClr val="accent1"/>
          </a:solidFill>
          <a:ln>
            <a:noFill/>
          </a:ln>
          <a:effectLst>
            <a:outerShdw blurRad="317500" algn="ctr" rotWithShape="0">
              <a:prstClr val="black">
                <a:alpha val="25000"/>
              </a:prstClr>
            </a:outerShdw>
          </a:effectLst>
        </c:spPr>
      </c:pivotFmt>
      <c:pivotFmt>
        <c:idx val="38"/>
        <c:spPr>
          <a:solidFill>
            <a:schemeClr val="accent1"/>
          </a:solidFill>
          <a:ln>
            <a:noFill/>
          </a:ln>
          <a:effectLst>
            <a:outerShdw blurRad="317500" algn="ctr" rotWithShape="0">
              <a:prstClr val="black">
                <a:alpha val="25000"/>
              </a:prstClr>
            </a:outerShdw>
          </a:effectLst>
        </c:spPr>
      </c:pivotFmt>
      <c:pivotFmt>
        <c:idx val="39"/>
        <c:spPr>
          <a:solidFill>
            <a:schemeClr val="accent1"/>
          </a:solidFill>
          <a:ln>
            <a:noFill/>
          </a:ln>
          <a:effectLst>
            <a:outerShdw blurRad="317500" algn="ctr" rotWithShape="0">
              <a:prstClr val="black">
                <a:alpha val="25000"/>
              </a:prstClr>
            </a:outerShdw>
          </a:effectLst>
        </c:spPr>
      </c:pivotFmt>
      <c:pivotFmt>
        <c:idx val="40"/>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41"/>
        <c:spPr>
          <a:solidFill>
            <a:schemeClr val="accent1"/>
          </a:solidFill>
          <a:ln>
            <a:noFill/>
          </a:ln>
          <a:effectLst>
            <a:outerShdw blurRad="317500" algn="ctr" rotWithShape="0">
              <a:prstClr val="black">
                <a:alpha val="25000"/>
              </a:prstClr>
            </a:outerShdw>
          </a:effectLst>
        </c:spPr>
      </c:pivotFmt>
      <c:pivotFmt>
        <c:idx val="42"/>
        <c:spPr>
          <a:solidFill>
            <a:schemeClr val="accent1"/>
          </a:solidFill>
          <a:ln>
            <a:noFill/>
          </a:ln>
          <a:effectLst>
            <a:outerShdw blurRad="317500" algn="ctr" rotWithShape="0">
              <a:prstClr val="black">
                <a:alpha val="25000"/>
              </a:prstClr>
            </a:outerShdw>
          </a:effectLst>
        </c:spPr>
      </c:pivotFmt>
      <c:pivotFmt>
        <c:idx val="43"/>
        <c:spPr>
          <a:solidFill>
            <a:schemeClr val="accent1"/>
          </a:solidFill>
          <a:ln>
            <a:noFill/>
          </a:ln>
          <a:effectLst>
            <a:outerShdw blurRad="317500" algn="ctr" rotWithShape="0">
              <a:prstClr val="black">
                <a:alpha val="25000"/>
              </a:prstClr>
            </a:outerShdw>
          </a:effectLst>
        </c:spPr>
      </c:pivotFmt>
      <c:pivotFmt>
        <c:idx val="44"/>
        <c:spPr>
          <a:solidFill>
            <a:schemeClr val="accent1"/>
          </a:solidFill>
          <a:ln>
            <a:noFill/>
          </a:ln>
          <a:effectLst>
            <a:outerShdw blurRad="317500" algn="ctr" rotWithShape="0">
              <a:prstClr val="black">
                <a:alpha val="25000"/>
              </a:prstClr>
            </a:outerShdw>
          </a:effectLst>
        </c:spPr>
      </c:pivotFmt>
      <c:pivotFmt>
        <c:idx val="45"/>
        <c:spPr>
          <a:solidFill>
            <a:schemeClr val="accent1"/>
          </a:solidFill>
          <a:ln>
            <a:noFill/>
          </a:ln>
          <a:effectLst>
            <a:outerShdw blurRad="317500" algn="ctr" rotWithShape="0">
              <a:prstClr val="black">
                <a:alpha val="25000"/>
              </a:prstClr>
            </a:outerShdw>
          </a:effectLst>
        </c:spPr>
      </c:pivotFmt>
      <c:pivotFmt>
        <c:idx val="46"/>
        <c:spPr>
          <a:solidFill>
            <a:schemeClr val="accent1"/>
          </a:solidFill>
          <a:ln>
            <a:noFill/>
          </a:ln>
          <a:effectLst>
            <a:outerShdw blurRad="317500" algn="ctr" rotWithShape="0">
              <a:prstClr val="black">
                <a:alpha val="25000"/>
              </a:prstClr>
            </a:outerShdw>
          </a:effectLst>
        </c:spPr>
      </c:pivotFmt>
      <c:pivotFmt>
        <c:idx val="47"/>
        <c:spPr>
          <a:solidFill>
            <a:schemeClr val="accent1"/>
          </a:solidFill>
          <a:ln>
            <a:noFill/>
          </a:ln>
          <a:effectLst>
            <a:outerShdw blurRad="317500" algn="ctr" rotWithShape="0">
              <a:prstClr val="black">
                <a:alpha val="25000"/>
              </a:prstClr>
            </a:outerShdw>
          </a:effectLst>
        </c:spPr>
      </c:pivotFmt>
      <c:pivotFmt>
        <c:idx val="48"/>
        <c:spPr>
          <a:solidFill>
            <a:schemeClr val="accent1"/>
          </a:solidFill>
          <a:ln>
            <a:noFill/>
          </a:ln>
          <a:effectLst>
            <a:outerShdw blurRad="317500" algn="ctr" rotWithShape="0">
              <a:prstClr val="black">
                <a:alpha val="25000"/>
              </a:prstClr>
            </a:outerShdw>
          </a:effectLst>
        </c:spPr>
      </c:pivotFmt>
      <c:pivotFmt>
        <c:idx val="49"/>
        <c:spPr>
          <a:solidFill>
            <a:schemeClr val="accent1"/>
          </a:solidFill>
          <a:ln>
            <a:noFill/>
          </a:ln>
          <a:effectLst>
            <a:outerShdw blurRad="317500" algn="ctr" rotWithShape="0">
              <a:prstClr val="black">
                <a:alpha val="25000"/>
              </a:prstClr>
            </a:outerShdw>
          </a:effectLst>
        </c:spPr>
      </c:pivotFmt>
      <c:pivotFmt>
        <c:idx val="50"/>
        <c:spPr>
          <a:solidFill>
            <a:schemeClr val="accent1"/>
          </a:solidFill>
          <a:ln>
            <a:noFill/>
          </a:ln>
          <a:effectLst>
            <a:outerShdw blurRad="317500" algn="ctr" rotWithShape="0">
              <a:prstClr val="black">
                <a:alpha val="25000"/>
              </a:prstClr>
            </a:outerShdw>
          </a:effectLst>
        </c:spPr>
      </c:pivotFmt>
    </c:pivotFmts>
    <c:plotArea>
      <c:layout/>
      <c:doughnutChart>
        <c:varyColors val="1"/>
        <c:ser>
          <c:idx val="0"/>
          <c:order val="0"/>
          <c:tx>
            <c:strRef>
              <c:f>Feuil6!$B$1</c:f>
              <c:strCache>
                <c:ptCount val="1"/>
                <c:pt idx="0">
                  <c:v>Total</c:v>
                </c:pt>
              </c:strCache>
            </c:strRef>
          </c:tx>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Pt>
            <c:idx val="4"/>
            <c:bubble3D val="0"/>
            <c:spPr>
              <a:solidFill>
                <a:schemeClr val="accent5"/>
              </a:solidFill>
              <a:ln>
                <a:noFill/>
              </a:ln>
              <a:effectLst>
                <a:outerShdw blurRad="317500" algn="ctr" rotWithShape="0">
                  <a:prstClr val="black">
                    <a:alpha val="25000"/>
                  </a:prstClr>
                </a:outerShdw>
              </a:effectLst>
            </c:spPr>
          </c:dPt>
          <c:dPt>
            <c:idx val="5"/>
            <c:bubble3D val="0"/>
            <c:spPr>
              <a:solidFill>
                <a:schemeClr val="accent6"/>
              </a:solidFill>
              <a:ln>
                <a:noFill/>
              </a:ln>
              <a:effectLst>
                <a:outerShdw blurRad="317500" algn="ctr" rotWithShape="0">
                  <a:prstClr val="black">
                    <a:alpha val="25000"/>
                  </a:prstClr>
                </a:outerShdw>
              </a:effectLst>
            </c:spPr>
          </c:dPt>
          <c:dPt>
            <c:idx val="6"/>
            <c:bubble3D val="0"/>
            <c:spPr>
              <a:solidFill>
                <a:schemeClr val="accent1">
                  <a:lumMod val="60000"/>
                </a:schemeClr>
              </a:solidFill>
              <a:ln>
                <a:noFill/>
              </a:ln>
              <a:effectLst>
                <a:outerShdw blurRad="317500" algn="ctr" rotWithShape="0">
                  <a:prstClr val="black">
                    <a:alpha val="25000"/>
                  </a:prstClr>
                </a:outerShdw>
              </a:effectLst>
            </c:spPr>
          </c:dPt>
          <c:dPt>
            <c:idx val="7"/>
            <c:bubble3D val="0"/>
            <c:spPr>
              <a:solidFill>
                <a:schemeClr val="accent2">
                  <a:lumMod val="60000"/>
                </a:schemeClr>
              </a:solidFill>
              <a:ln>
                <a:noFill/>
              </a:ln>
              <a:effectLst>
                <a:outerShdw blurRad="317500" algn="ctr" rotWithShape="0">
                  <a:prstClr val="black">
                    <a:alpha val="25000"/>
                  </a:prstClr>
                </a:outerShdw>
              </a:effectLst>
            </c:spPr>
          </c:dPt>
          <c:dPt>
            <c:idx val="8"/>
            <c:bubble3D val="0"/>
            <c:spPr>
              <a:solidFill>
                <a:schemeClr val="accent3">
                  <a:lumMod val="60000"/>
                </a:schemeClr>
              </a:solidFill>
              <a:ln>
                <a:noFill/>
              </a:ln>
              <a:effectLst>
                <a:outerShdw blurRad="317500" algn="ctr" rotWithShape="0">
                  <a:prstClr val="black">
                    <a:alpha val="25000"/>
                  </a:prstClr>
                </a:outerShdw>
              </a:effectLst>
            </c:spPr>
          </c:dPt>
          <c:dPt>
            <c:idx val="9"/>
            <c:bubble3D val="0"/>
            <c:spPr>
              <a:solidFill>
                <a:schemeClr val="accent4">
                  <a:lumMod val="60000"/>
                </a:schemeClr>
              </a:solidFill>
              <a:ln>
                <a:noFill/>
              </a:ln>
              <a:effectLst>
                <a:outerShdw blurRad="317500" algn="ctr" rotWithShape="0">
                  <a:prstClr val="black">
                    <a:alpha val="25000"/>
                  </a:prstClr>
                </a:outerShdw>
              </a:effectLst>
            </c:spPr>
          </c:dPt>
          <c:dLbls>
            <c:dLbl>
              <c:idx val="1"/>
              <c:layout>
                <c:manualLayout>
                  <c:x val="8.0555555555555658E-2"/>
                  <c:y val="-7.4074074074074098E-2"/>
                </c:manualLayout>
              </c:layout>
              <c:showLegendKey val="0"/>
              <c:showVal val="1"/>
              <c:showCatName val="1"/>
              <c:showSerName val="0"/>
              <c:showPercent val="1"/>
              <c:showBubbleSize val="0"/>
              <c:separator>
</c:separator>
              <c:extLst>
                <c:ext xmlns:c15="http://schemas.microsoft.com/office/drawing/2012/chart" uri="{CE6537A1-D6FC-4f65-9D91-7224C49458BB}"/>
              </c:extLst>
            </c:dLbl>
            <c:dLbl>
              <c:idx val="3"/>
              <c:layout>
                <c:manualLayout>
                  <c:x val="0.11111111111111122"/>
                  <c:y val="-7.8703703703703706E-2"/>
                </c:manualLayout>
              </c:layout>
              <c:showLegendKey val="0"/>
              <c:showVal val="1"/>
              <c:showCatName val="1"/>
              <c:showSerName val="0"/>
              <c:showPercent val="1"/>
              <c:showBubbleSize val="0"/>
              <c:separator>
</c:separator>
              <c:extLst>
                <c:ext xmlns:c15="http://schemas.microsoft.com/office/drawing/2012/chart" uri="{CE6537A1-D6FC-4f65-9D91-7224C49458BB}"/>
              </c:extLst>
            </c:dLbl>
            <c:dLbl>
              <c:idx val="6"/>
              <c:layout>
                <c:manualLayout>
                  <c:x val="7.7777777777777682E-2"/>
                  <c:y val="0.1388888888888889"/>
                </c:manualLayout>
              </c:layout>
              <c:showLegendKey val="0"/>
              <c:showVal val="1"/>
              <c:showCatName val="1"/>
              <c:showSerName val="0"/>
              <c:showPercent val="1"/>
              <c:showBubbleSize val="0"/>
              <c:separator>
</c:separator>
              <c:extLst>
                <c:ext xmlns:c15="http://schemas.microsoft.com/office/drawing/2012/chart" uri="{CE6537A1-D6FC-4f65-9D91-7224C49458BB}"/>
              </c:extLst>
            </c:dLbl>
            <c:dLbl>
              <c:idx val="7"/>
              <c:layout>
                <c:manualLayout>
                  <c:x val="-0.15000000000000005"/>
                  <c:y val="6.9444444444444448E-2"/>
                </c:manualLayout>
              </c:layout>
              <c:showLegendKey val="0"/>
              <c:showVal val="1"/>
              <c:showCatName val="1"/>
              <c:showSerName val="0"/>
              <c:showPercent val="1"/>
              <c:showBubbleSize val="0"/>
              <c:separator>
</c:separator>
              <c:extLst>
                <c:ext xmlns:c15="http://schemas.microsoft.com/office/drawing/2012/chart" uri="{CE6537A1-D6FC-4f65-9D91-7224C49458BB}"/>
              </c:extLst>
            </c:dLbl>
            <c:dLbl>
              <c:idx val="8"/>
              <c:layout>
                <c:manualLayout>
                  <c:x val="-8.0555555555555533E-2"/>
                  <c:y val="-5.5555555555555552E-2"/>
                </c:manualLayout>
              </c:layout>
              <c:showLegendKey val="0"/>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0"/>
            <c:showVal val="1"/>
            <c:showCatName val="1"/>
            <c:showSerName val="0"/>
            <c:showPercent val="1"/>
            <c:showBubbleSize val="0"/>
            <c:separator>
</c:separator>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1">
                  <c:v>608</c:v>
                </c:pt>
                <c:pt idx="3">
                  <c:v>57</c:v>
                </c:pt>
                <c:pt idx="6">
                  <c:v>80</c:v>
                </c:pt>
                <c:pt idx="7">
                  <c:v>803</c:v>
                </c:pt>
                <c:pt idx="8">
                  <c:v>715</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dLbl>
          <c:idx val="0"/>
          <c:layout>
            <c:manualLayout>
              <c:x val="0.10458497375328084"/>
              <c:y val="-0.20447688830562846"/>
            </c:manualLayout>
          </c:layout>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dLbl>
          <c:idx val="0"/>
          <c:dLblPos val="in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9"/>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0"/>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1"/>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2"/>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3"/>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4"/>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5"/>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6"/>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7"/>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8"/>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circle"/>
          <c:size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3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3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Feuil6!$B$1</c:f>
              <c:strCache>
                <c:ptCount val="1"/>
                <c:pt idx="0">
                  <c:v>Total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1">
                  <c:v>2</c:v>
                </c:pt>
                <c:pt idx="3">
                  <c:v>1</c:v>
                </c:pt>
                <c:pt idx="4">
                  <c:v>27</c:v>
                </c:pt>
                <c:pt idx="7">
                  <c:v>15</c:v>
                </c:pt>
                <c:pt idx="8">
                  <c:v>3</c:v>
                </c:pt>
              </c:numCache>
            </c:numRef>
          </c:val>
        </c:ser>
        <c:dLbls>
          <c:showLegendKey val="0"/>
          <c:showVal val="1"/>
          <c:showCatName val="0"/>
          <c:showSerName val="0"/>
          <c:showPercent val="0"/>
          <c:showBubbleSize val="0"/>
        </c:dLbls>
        <c:gapWidth val="100"/>
        <c:overlap val="-24"/>
        <c:axId val="741227248"/>
        <c:axId val="741226072"/>
      </c:barChart>
      <c:catAx>
        <c:axId val="74122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fr-FR"/>
          </a:p>
        </c:txPr>
        <c:crossAx val="741226072"/>
        <c:crosses val="autoZero"/>
        <c:auto val="1"/>
        <c:lblAlgn val="ctr"/>
        <c:lblOffset val="100"/>
        <c:noMultiLvlLbl val="0"/>
      </c:catAx>
      <c:valAx>
        <c:axId val="741226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fr-FR"/>
          </a:p>
        </c:txPr>
        <c:crossAx val="741227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dLbl>
          <c:idx val="0"/>
          <c:layout>
            <c:manualLayout>
              <c:x val="0.10458497375328084"/>
              <c:y val="-0.20447688830562846"/>
            </c:manualLayout>
          </c:layout>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dLbl>
          <c:idx val="0"/>
          <c:dLblPos val="in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9"/>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0"/>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1"/>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2"/>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3"/>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4"/>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5"/>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6"/>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7"/>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8"/>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dLbl>
          <c:idx val="0"/>
          <c:showLegendKey val="0"/>
          <c:showVal val="1"/>
          <c:showCatName val="0"/>
          <c:showSerName val="0"/>
          <c:showPercent val="0"/>
          <c:showBubbleSize val="0"/>
          <c:extLst>
            <c:ext xmlns:c15="http://schemas.microsoft.com/office/drawing/2012/chart" uri="{CE6537A1-D6FC-4f65-9D91-7224C49458BB}"/>
          </c:extLst>
        </c:dLbl>
      </c:pivotFmt>
      <c:pivotFmt>
        <c:idx val="30"/>
        <c:spPr>
          <a:gradFill flip="none" rotWithShape="1">
            <a:gsLst>
              <a:gs pos="100000">
                <a:schemeClr val="accent1">
                  <a:alpha val="0"/>
                </a:schemeClr>
              </a:gs>
              <a:gs pos="50000">
                <a:schemeClr val="accent1"/>
              </a:gs>
            </a:gsLst>
            <a:lin ang="10800000" scaled="1"/>
          </a:gradFill>
          <a:ln>
            <a:noFill/>
          </a:ln>
          <a:effectLst/>
          <a:sp3d/>
        </c:spPr>
        <c:marker>
          <c:symbol val="circle"/>
          <c:size val="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w="9525" cap="flat" cmpd="sng" algn="ctr">
              <a:solidFill>
                <a:schemeClr val="accent1">
                  <a:shade val="95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31"/>
        <c:spPr>
          <a:gradFill flip="none" rotWithShape="1">
            <a:gsLst>
              <a:gs pos="100000">
                <a:schemeClr val="accent1">
                  <a:alpha val="0"/>
                </a:schemeClr>
              </a:gs>
              <a:gs pos="50000">
                <a:schemeClr val="accent1"/>
              </a:gs>
            </a:gsLst>
            <a:lin ang="10800000" scaled="1"/>
          </a:gra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32"/>
        <c:spPr>
          <a:gradFill flip="none" rotWithShape="1">
            <a:gsLst>
              <a:gs pos="100000">
                <a:schemeClr val="accent1">
                  <a:alpha val="0"/>
                </a:schemeClr>
              </a:gs>
              <a:gs pos="50000">
                <a:schemeClr val="accent1"/>
              </a:gs>
            </a:gsLst>
            <a:lin ang="10800000" scaled="1"/>
          </a:gra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Feuil6!$B$1</c:f>
              <c:strCache>
                <c:ptCount val="1"/>
                <c:pt idx="0">
                  <c:v>Total</c:v>
                </c:pt>
              </c:strCache>
            </c:strRef>
          </c:tx>
          <c:spPr>
            <a:gradFill flip="none" rotWithShape="1">
              <a:gsLst>
                <a:gs pos="100000">
                  <a:schemeClr val="accent1">
                    <a:alpha val="0"/>
                  </a:schemeClr>
                </a:gs>
                <a:gs pos="50000">
                  <a:schemeClr val="accent1"/>
                </a:gs>
              </a:gsLst>
              <a:lin ang="10800000" scaled="1"/>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0">
                  <c:v>13735</c:v>
                </c:pt>
                <c:pt idx="1">
                  <c:v>6</c:v>
                </c:pt>
                <c:pt idx="8">
                  <c:v>2</c:v>
                </c:pt>
              </c:numCache>
            </c:numRef>
          </c:val>
        </c:ser>
        <c:dLbls>
          <c:showLegendKey val="0"/>
          <c:showVal val="1"/>
          <c:showCatName val="0"/>
          <c:showSerName val="0"/>
          <c:showPercent val="0"/>
          <c:showBubbleSize val="0"/>
        </c:dLbls>
        <c:gapWidth val="150"/>
        <c:gapDepth val="0"/>
        <c:shape val="box"/>
        <c:axId val="741232736"/>
        <c:axId val="741228424"/>
        <c:axId val="0"/>
      </c:bar3DChart>
      <c:catAx>
        <c:axId val="7412327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41228424"/>
        <c:crosses val="autoZero"/>
        <c:auto val="1"/>
        <c:lblAlgn val="ctr"/>
        <c:lblOffset val="100"/>
        <c:noMultiLvlLbl val="0"/>
      </c:catAx>
      <c:valAx>
        <c:axId val="741228424"/>
        <c:scaling>
          <c:orientation val="minMax"/>
        </c:scaling>
        <c:delete val="0"/>
        <c:axPos val="b"/>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4123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dLbl>
          <c:idx val="0"/>
          <c:layout>
            <c:manualLayout>
              <c:x val="0.10458497375328084"/>
              <c:y val="-0.20447688830562846"/>
            </c:manualLayout>
          </c:layout>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dLbl>
          <c:idx val="0"/>
          <c:dLblPos val="in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9"/>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0"/>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1"/>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2"/>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3"/>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4"/>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5"/>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6"/>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7"/>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8"/>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dLbl>
          <c:idx val="0"/>
          <c:showLegendKey val="0"/>
          <c:showVal val="1"/>
          <c:showCatName val="0"/>
          <c:showSerName val="0"/>
          <c:showPercent val="0"/>
          <c:showBubbleSize val="0"/>
          <c:extLst>
            <c:ext xmlns:c15="http://schemas.microsoft.com/office/drawing/2012/chart" uri="{CE6537A1-D6FC-4f65-9D91-7224C49458BB}"/>
          </c:extLst>
        </c:dLbl>
      </c:pivotFmt>
      <c:pivotFmt>
        <c:idx val="30"/>
        <c:dLbl>
          <c:idx val="0"/>
          <c:showLegendKey val="0"/>
          <c:showVal val="1"/>
          <c:showCatName val="0"/>
          <c:showSerName val="0"/>
          <c:showPercent val="0"/>
          <c:showBubbleSize val="0"/>
          <c:extLst>
            <c:ext xmlns:c15="http://schemas.microsoft.com/office/drawing/2012/chart" uri="{CE6537A1-D6FC-4f65-9D91-7224C49458BB}"/>
          </c:extLst>
        </c:dLbl>
      </c:pivotFmt>
      <c:pivotFmt>
        <c:idx val="31"/>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32"/>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3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4"/>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7"/>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8"/>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3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4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41"/>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42"/>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4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extLst>
        </c:dLbl>
      </c:pivotFmt>
      <c:pivotFmt>
        <c:idx val="44"/>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4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4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47"/>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48"/>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4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5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51"/>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52"/>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5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s>
    <c:plotArea>
      <c:layout/>
      <c:pieChart>
        <c:varyColors val="1"/>
        <c:ser>
          <c:idx val="0"/>
          <c:order val="0"/>
          <c:tx>
            <c:strRef>
              <c:f>Feuil6!$B$1</c:f>
              <c:strCache>
                <c:ptCount val="1"/>
                <c:pt idx="0">
                  <c:v>Total</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dPt>
          <c:dPt>
            <c:idx val="9"/>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3">
                  <c:v>53</c:v>
                </c:pt>
                <c:pt idx="4">
                  <c:v>230</c:v>
                </c:pt>
                <c:pt idx="6">
                  <c:v>50</c:v>
                </c:pt>
                <c:pt idx="7">
                  <c:v>231</c:v>
                </c:pt>
                <c:pt idx="8">
                  <c:v>1361</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dLbl>
          <c:idx val="0"/>
          <c:layout>
            <c:manualLayout>
              <c:x val="0.10458497375328084"/>
              <c:y val="-0.20447688830562846"/>
            </c:manualLayout>
          </c:layout>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dLbl>
          <c:idx val="0"/>
          <c:dLblPos val="in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9"/>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0"/>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1"/>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2"/>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3"/>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4"/>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5"/>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6"/>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7"/>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8"/>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dLbl>
          <c:idx val="0"/>
          <c:showLegendKey val="0"/>
          <c:showVal val="1"/>
          <c:showCatName val="0"/>
          <c:showSerName val="0"/>
          <c:showPercent val="0"/>
          <c:showBubbleSize val="0"/>
          <c:extLst>
            <c:ext xmlns:c15="http://schemas.microsoft.com/office/drawing/2012/chart" uri="{CE6537A1-D6FC-4f65-9D91-7224C49458BB}"/>
          </c:extLst>
        </c:dLbl>
      </c:pivotFmt>
      <c:pivotFmt>
        <c:idx val="30"/>
        <c:dLbl>
          <c:idx val="0"/>
          <c:showLegendKey val="0"/>
          <c:showVal val="1"/>
          <c:showCatName val="0"/>
          <c:showSerName val="0"/>
          <c:showPercent val="0"/>
          <c:showBubbleSize val="0"/>
          <c:extLst>
            <c:ext xmlns:c15="http://schemas.microsoft.com/office/drawing/2012/chart" uri="{CE6537A1-D6FC-4f65-9D91-7224C49458BB}"/>
          </c:extLst>
        </c:dLbl>
      </c:pivotFmt>
      <c:pivotFmt>
        <c:idx val="31"/>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3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4"/>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6"/>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7"/>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8"/>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9"/>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1"/>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2"/>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4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4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5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5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6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6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6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6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Feuil6!$B$1</c:f>
              <c:strCache>
                <c:ptCount val="1"/>
                <c:pt idx="0">
                  <c:v>Total</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1">
                  <c:v>2</c:v>
                </c:pt>
                <c:pt idx="5">
                  <c:v>1</c:v>
                </c:pt>
                <c:pt idx="6">
                  <c:v>4</c:v>
                </c:pt>
                <c:pt idx="7">
                  <c:v>9</c:v>
                </c:pt>
                <c:pt idx="8">
                  <c:v>3</c:v>
                </c:pt>
                <c:pt idx="9">
                  <c:v>3</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[Graphique dans Microsoft Word]Feuil5!Tableau croisé dynamique3</c:name>
    <c:fmtId val="-1"/>
  </c:pivotSource>
  <c:chart>
    <c:autoTitleDeleted val="1"/>
    <c:pivotFmts>
      <c:pivotFmt>
        <c:idx val="0"/>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1"/>
          <c:showSerName val="0"/>
          <c:showPercent val="1"/>
          <c:showBubbleSize val="0"/>
          <c:extLst>
            <c:ext xmlns:c15="http://schemas.microsoft.com/office/drawing/2012/chart" uri="{CE6537A1-D6FC-4f65-9D91-7224C49458BB}"/>
          </c:extLst>
        </c:dLbl>
      </c:pivotFmt>
      <c:pivotFmt>
        <c:idx val="6"/>
        <c:dLbl>
          <c:idx val="0"/>
          <c:layout>
            <c:manualLayout>
              <c:x val="-0.11252985564304462"/>
              <c:y val="7.7710702828813066E-2"/>
            </c:manualLayout>
          </c:layou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0.19767344706911635"/>
              <c:y val="1.2161344415281413E-2"/>
            </c:manualLayout>
          </c:layout>
          <c:showLegendKey val="0"/>
          <c:showVal val="0"/>
          <c:showCatName val="1"/>
          <c:showSerName val="0"/>
          <c:showPercent val="1"/>
          <c:showBubbleSize val="0"/>
          <c:extLst>
            <c:ext xmlns:c15="http://schemas.microsoft.com/office/drawing/2012/chart" uri="{CE6537A1-D6FC-4f65-9D91-7224C49458BB}"/>
          </c:extLst>
        </c:dLbl>
      </c:pivotFmt>
      <c:pivotFmt>
        <c:idx val="8"/>
        <c:dLbl>
          <c:idx val="0"/>
          <c:layout>
            <c:manualLayout>
              <c:x val="-7.6076334208223975E-2"/>
              <c:y val="-3.1051326917468651E-3"/>
            </c:manualLayout>
          </c:layout>
          <c:showLegendKey val="0"/>
          <c:showVal val="0"/>
          <c:showCatName val="1"/>
          <c:showSerName val="0"/>
          <c:showPercent val="1"/>
          <c:showBubbleSize val="0"/>
          <c:extLst>
            <c:ext xmlns:c15="http://schemas.microsoft.com/office/drawing/2012/chart" uri="{CE6537A1-D6FC-4f65-9D91-7224C49458BB}"/>
          </c:extLst>
        </c:dLbl>
      </c:pivotFmt>
      <c:pivotFmt>
        <c:idx val="9"/>
        <c:dLbl>
          <c:idx val="0"/>
          <c:layout>
            <c:manualLayout>
              <c:x val="3.8042979002624669E-2"/>
              <c:y val="-2.1890492855059784E-3"/>
            </c:manualLayout>
          </c:layout>
          <c:showLegendKey val="0"/>
          <c:showVal val="0"/>
          <c:showCatName val="1"/>
          <c:showSerName val="0"/>
          <c:showPercent val="1"/>
          <c:showBubbleSize val="0"/>
          <c:extLst>
            <c:ext xmlns:c15="http://schemas.microsoft.com/office/drawing/2012/chart" uri="{CE6537A1-D6FC-4f65-9D91-7224C49458BB}"/>
          </c:extLst>
        </c:dLbl>
      </c:pivotFmt>
      <c:pivotFmt>
        <c:idx val="10"/>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1"/>
        <c:dLbl>
          <c:idx val="0"/>
          <c:layout>
            <c:manualLayout>
              <c:x val="-0.12501268591426071"/>
              <c:y val="2.393044619422572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2"/>
        <c:dLbl>
          <c:idx val="0"/>
          <c:layout>
            <c:manualLayout>
              <c:x val="-1.1574146981627297E-2"/>
              <c:y val="2.5138524351122778E-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3"/>
        <c:dLbl>
          <c:idx val="0"/>
          <c:layout>
            <c:manualLayout>
              <c:x val="4.0535870516185478E-2"/>
              <c:y val="-5.1434091571886935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pPr>
            <a:solidFill>
              <a:schemeClr val="accent1"/>
            </a:solidFill>
            <a:ln w="9525">
              <a:solidFill>
                <a:schemeClr val="lt1"/>
              </a:solidFill>
            </a:ln>
            <a:effectLst/>
          </c:spPr>
        </c:marker>
        <c:dLbl>
          <c:idx val="0"/>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5"/>
        <c:dLbl>
          <c:idx val="0"/>
          <c:layout>
            <c:manualLayout>
              <c:x val="5.664479440069986E-2"/>
              <c:y val="-3.751822688830563E-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6"/>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17"/>
        <c:dLbl>
          <c:idx val="0"/>
          <c:layout>
            <c:manualLayout>
              <c:x val="3.5052493438320211E-2"/>
              <c:y val="-1.6738116068824731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1.4774278215223096E-2"/>
              <c:y val="-2.8556430446194225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9"/>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0"/>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1"/>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2"/>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3"/>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4"/>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7"/>
        <c:spPr>
          <a:solidFill>
            <a:schemeClr val="accent2"/>
          </a:solidFill>
          <a:ln>
            <a:noFill/>
          </a:ln>
          <a:effectLst>
            <a:outerShdw blurRad="63500" sx="102000" sy="102000" algn="ctr" rotWithShape="0">
              <a:prstClr val="black">
                <a:alpha val="20000"/>
              </a:prstClr>
            </a:outerShdw>
          </a:effectLst>
        </c:spPr>
        <c:dLbl>
          <c:idx val="0"/>
          <c:layout>
            <c:manualLayout>
              <c:x val="-7.8256342957130354E-2"/>
              <c:y val="0.1549792213473315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8"/>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9"/>
        <c:spPr>
          <a:solidFill>
            <a:schemeClr val="accent4"/>
          </a:solidFill>
          <a:ln>
            <a:noFill/>
          </a:ln>
          <a:effectLst>
            <a:outerShdw blurRad="63500" sx="102000" sy="102000" algn="ctr" rotWithShape="0">
              <a:prstClr val="black">
                <a:alpha val="20000"/>
              </a:prstClr>
            </a:outerShdw>
          </a:effectLst>
        </c:spPr>
        <c:dLbl>
          <c:idx val="0"/>
          <c:layout>
            <c:manualLayout>
              <c:x val="-3.660159667541555E-2"/>
              <c:y val="2.786708953047535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0"/>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1"/>
        <c:spPr>
          <a:solidFill>
            <a:schemeClr val="accent6"/>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2"/>
        <c:spPr>
          <a:solidFill>
            <a:schemeClr val="accent1">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3"/>
        <c:spPr>
          <a:solidFill>
            <a:schemeClr val="accent2">
              <a:lumMod val="60000"/>
            </a:schemeClr>
          </a:solidFill>
          <a:ln>
            <a:noFill/>
          </a:ln>
          <a:effectLst>
            <a:outerShdw blurRad="63500" sx="102000" sy="102000" algn="ctr" rotWithShape="0">
              <a:prstClr val="black">
                <a:alpha val="20000"/>
              </a:prstClr>
            </a:outerShdw>
          </a:effectLst>
        </c:spPr>
        <c:dLbl>
          <c:idx val="0"/>
          <c:layout>
            <c:manualLayout>
              <c:x val="6.1596456692913387E-2"/>
              <c:y val="-4.06612715077281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4"/>
        <c:spPr>
          <a:solidFill>
            <a:schemeClr val="accent3">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5"/>
        <c:spPr>
          <a:solidFill>
            <a:schemeClr val="accent4">
              <a:lumMod val="60000"/>
            </a:schemeClr>
          </a:solidFill>
          <a:ln>
            <a:noFill/>
          </a:ln>
          <a:effectLst>
            <a:outerShdw blurRad="63500" sx="102000" sy="102000" algn="ctr" rotWithShape="0">
              <a:prstClr val="black">
                <a:alpha val="20000"/>
              </a:prstClr>
            </a:outerShdw>
          </a:effectLst>
        </c:spPr>
        <c:dLbl>
          <c:idx val="0"/>
          <c:layout>
            <c:manualLayout>
              <c:x val="0.25081496062992126"/>
              <c:y val="1.304097404491105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6"/>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8"/>
        <c:spPr>
          <a:solidFill>
            <a:schemeClr val="accent1"/>
          </a:solidFill>
          <a:ln>
            <a:noFill/>
          </a:ln>
          <a:effectLst>
            <a:outerShdw blurRad="63500" sx="102000" sy="102000" algn="ctr" rotWithShape="0">
              <a:prstClr val="black">
                <a:alpha val="20000"/>
              </a:prstClr>
            </a:outerShdw>
          </a:effectLst>
        </c:spPr>
        <c:dLbl>
          <c:idx val="0"/>
          <c:layout>
            <c:manualLayout>
              <c:x val="-7.8256342957130354E-2"/>
              <c:y val="0.1549792213473315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0"/>
        <c:spPr>
          <a:solidFill>
            <a:schemeClr val="accent1"/>
          </a:solidFill>
          <a:ln>
            <a:noFill/>
          </a:ln>
          <a:effectLst>
            <a:outerShdw blurRad="63500" sx="102000" sy="102000" algn="ctr" rotWithShape="0">
              <a:prstClr val="black">
                <a:alpha val="20000"/>
              </a:prstClr>
            </a:outerShdw>
          </a:effectLst>
        </c:spPr>
        <c:dLbl>
          <c:idx val="0"/>
          <c:layout>
            <c:manualLayout>
              <c:x val="-3.660159667541555E-2"/>
              <c:y val="2.786708953047535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layout>
            <c:manualLayout>
              <c:x val="6.1596456692913387E-2"/>
              <c:y val="-4.06612715077281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6"/>
        <c:spPr>
          <a:solidFill>
            <a:schemeClr val="accent1"/>
          </a:solidFill>
          <a:ln>
            <a:noFill/>
          </a:ln>
          <a:effectLst>
            <a:outerShdw blurRad="63500" sx="102000" sy="102000" algn="ctr" rotWithShape="0">
              <a:prstClr val="black">
                <a:alpha val="20000"/>
              </a:prstClr>
            </a:outerShdw>
          </a:effectLst>
        </c:spPr>
        <c:dLbl>
          <c:idx val="0"/>
          <c:layout>
            <c:manualLayout>
              <c:x val="0.25081496062992126"/>
              <c:y val="1.304097404491105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7"/>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9"/>
        <c:spPr>
          <a:solidFill>
            <a:schemeClr val="accent1"/>
          </a:solidFill>
          <a:ln>
            <a:noFill/>
          </a:ln>
          <a:effectLst>
            <a:outerShdw blurRad="63500" sx="102000" sy="102000" algn="ctr" rotWithShape="0">
              <a:prstClr val="black">
                <a:alpha val="20000"/>
              </a:prstClr>
            </a:outerShdw>
          </a:effectLst>
        </c:spPr>
        <c:dLbl>
          <c:idx val="0"/>
          <c:layout>
            <c:manualLayout>
              <c:x val="-7.8256342957130354E-2"/>
              <c:y val="0.1549792213473315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1"/>
        <c:spPr>
          <a:solidFill>
            <a:schemeClr val="accent1"/>
          </a:solidFill>
          <a:ln>
            <a:noFill/>
          </a:ln>
          <a:effectLst>
            <a:outerShdw blurRad="63500" sx="102000" sy="102000" algn="ctr" rotWithShape="0">
              <a:prstClr val="black">
                <a:alpha val="20000"/>
              </a:prstClr>
            </a:outerShdw>
          </a:effectLst>
        </c:spPr>
        <c:dLbl>
          <c:idx val="0"/>
          <c:layout>
            <c:manualLayout>
              <c:x val="-3.660159667541555E-2"/>
              <c:y val="2.786708953047535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layout>
            <c:manualLayout>
              <c:x val="6.1596456692913387E-2"/>
              <c:y val="-4.06612715077281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layout>
            <c:manualLayout>
              <c:x val="0.25081496062992126"/>
              <c:y val="1.304097404491105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Feuil5!$B$1</c:f>
              <c:strCache>
                <c:ptCount val="1"/>
                <c:pt idx="0">
                  <c:v>Total</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Pt>
            <c:idx val="8"/>
            <c:bubble3D val="0"/>
            <c:spPr>
              <a:solidFill>
                <a:schemeClr val="accent3">
                  <a:lumMod val="60000"/>
                </a:schemeClr>
              </a:solidFill>
              <a:ln>
                <a:noFill/>
              </a:ln>
              <a:effectLst>
                <a:outerShdw blurRad="63500" sx="102000" sy="102000" algn="ctr" rotWithShape="0">
                  <a:prstClr val="black">
                    <a:alpha val="20000"/>
                  </a:prstClr>
                </a:outerShdw>
              </a:effectLst>
            </c:spPr>
          </c:dPt>
          <c:dPt>
            <c:idx val="9"/>
            <c:bubble3D val="0"/>
            <c:spPr>
              <a:solidFill>
                <a:schemeClr val="accent4">
                  <a:lumMod val="60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0"/>
              <c:showCatName val="1"/>
              <c:showSerName val="0"/>
              <c:showPercent val="1"/>
              <c:showBubbleSize val="0"/>
            </c:dLbl>
            <c:dLbl>
              <c:idx val="1"/>
              <c:layout>
                <c:manualLayout>
                  <c:x val="-7.8256342957130354E-2"/>
                  <c:y val="0.1549792213473315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bestFit"/>
              <c:showLegendKey val="0"/>
              <c:showVal val="0"/>
              <c:showCatName val="1"/>
              <c:showSerName val="0"/>
              <c:showPercent val="1"/>
              <c:showBubbleSize val="0"/>
            </c:dLbl>
            <c:dLbl>
              <c:idx val="3"/>
              <c:layout>
                <c:manualLayout>
                  <c:x val="-3.660159667541555E-2"/>
                  <c:y val="2.786708953047535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bestFit"/>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bestFit"/>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bestFit"/>
              <c:showLegendKey val="0"/>
              <c:showVal val="0"/>
              <c:showCatName val="1"/>
              <c:showSerName val="0"/>
              <c:showPercent val="1"/>
              <c:showBubbleSize val="0"/>
            </c:dLbl>
            <c:dLbl>
              <c:idx val="7"/>
              <c:layout>
                <c:manualLayout>
                  <c:x val="6.1596456692913387E-2"/>
                  <c:y val="-4.06612715077281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bestFit"/>
              <c:showLegendKey val="0"/>
              <c:showVal val="0"/>
              <c:showCatName val="1"/>
              <c:showSerName val="0"/>
              <c:showPercent val="1"/>
              <c:showBubbleSize val="0"/>
            </c:dLbl>
            <c:dLbl>
              <c:idx val="9"/>
              <c:layout>
                <c:manualLayout>
                  <c:x val="0.25081496062992126"/>
                  <c:y val="1.304097404491105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0">
                  <c:v>4205</c:v>
                </c:pt>
                <c:pt idx="1">
                  <c:v>105</c:v>
                </c:pt>
                <c:pt idx="3">
                  <c:v>35</c:v>
                </c:pt>
                <c:pt idx="7">
                  <c:v>36</c:v>
                </c:pt>
                <c:pt idx="9">
                  <c:v>322</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 2.xlsx]Feuil6!Tableau croisé dynamique1</c:name>
    <c:fmtId val="-1"/>
  </c:pivotSource>
  <c:chart>
    <c:autoTitleDeleted val="1"/>
    <c:pivotFmts>
      <c:pivotFmt>
        <c:idx val="0"/>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dLbl>
          <c:idx val="0"/>
          <c:layout>
            <c:manualLayout>
              <c:x val="0.10458497375328084"/>
              <c:y val="-0.20447688830562846"/>
            </c:manualLayout>
          </c:layout>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dLbl>
          <c:idx val="0"/>
          <c:dLblPos val="in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9"/>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0"/>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1"/>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2"/>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3"/>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4"/>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5"/>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6"/>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7"/>
        <c:dLbl>
          <c:idx val="0"/>
          <c:dLblPos val="in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18"/>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dLbl>
          <c:idx val="0"/>
          <c:showLegendKey val="0"/>
          <c:showVal val="1"/>
          <c:showCatName val="0"/>
          <c:showSerName val="0"/>
          <c:showPercent val="0"/>
          <c:showBubbleSize val="0"/>
          <c:extLst>
            <c:ext xmlns:c15="http://schemas.microsoft.com/office/drawing/2012/chart" uri="{CE6537A1-D6FC-4f65-9D91-7224C49458BB}"/>
          </c:extLst>
        </c:dLbl>
      </c:pivotFmt>
      <c:pivotFmt>
        <c:idx val="30"/>
        <c:dLbl>
          <c:idx val="0"/>
          <c:showLegendKey val="0"/>
          <c:showVal val="1"/>
          <c:showCatName val="0"/>
          <c:showSerName val="0"/>
          <c:showPercent val="0"/>
          <c:showBubbleSize val="0"/>
          <c:extLst>
            <c:ext xmlns:c15="http://schemas.microsoft.com/office/drawing/2012/chart" uri="{CE6537A1-D6FC-4f65-9D91-7224C49458BB}"/>
          </c:extLst>
        </c:dLbl>
      </c:pivotFmt>
      <c:pivotFmt>
        <c:idx val="31"/>
        <c:dLbl>
          <c:idx val="0"/>
          <c:showLegendKey val="0"/>
          <c:showVal val="1"/>
          <c:showCatName val="1"/>
          <c:showSerName val="0"/>
          <c:showPercent val="1"/>
          <c:showBubbleSize val="0"/>
          <c:separator>
</c:separator>
          <c:extLst>
            <c:ext xmlns:c15="http://schemas.microsoft.com/office/drawing/2012/chart" uri="{CE6537A1-D6FC-4f65-9D91-7224C49458BB}"/>
          </c:extLst>
        </c:dLbl>
      </c:pivotFmt>
      <c:pivotFmt>
        <c:idx val="3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pPr>
            <a:solidFill>
              <a:schemeClr val="accent1"/>
            </a:solidFill>
            <a:ln w="9525">
              <a:solidFill>
                <a:schemeClr val="lt1"/>
              </a:solidFill>
            </a:ln>
            <a:effectLst/>
          </c:spPr>
        </c:marker>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3"/>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4"/>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5"/>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6"/>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7"/>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8"/>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39"/>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0"/>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1"/>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2"/>
        <c:dLbl>
          <c:idx val="0"/>
          <c:dLblPos val="outEnd"/>
          <c:showLegendKey val="0"/>
          <c:showVal val="1"/>
          <c:showCatName val="1"/>
          <c:showSerName val="0"/>
          <c:showPercent val="1"/>
          <c:showBubbleSize val="0"/>
          <c:separator>
</c:separator>
          <c:extLst>
            <c:ext xmlns:c15="http://schemas.microsoft.com/office/drawing/2012/chart" uri="{CE6537A1-D6FC-4f65-9D91-7224C49458BB}">
              <c15:xForSave val="1"/>
            </c:ext>
          </c:extLst>
        </c:dLbl>
      </c:pivotFmt>
      <c:pivotFmt>
        <c:idx val="4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45"/>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showLegendKey val="0"/>
          <c:showVal val="0"/>
          <c:showCatName val="1"/>
          <c:showSerName val="0"/>
          <c:showPercent val="0"/>
          <c:showBubbleSize val="0"/>
          <c:extLst>
            <c:ext xmlns:c15="http://schemas.microsoft.com/office/drawing/2012/chart" uri="{CE6537A1-D6FC-4f65-9D91-7224C49458BB}">
              <c15:xForSave val="1"/>
            </c:ext>
          </c:extLst>
        </c:dLbl>
      </c:pivotFmt>
      <c:pivotFmt>
        <c:idx val="4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4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4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4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0"/>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showLegendKey val="0"/>
          <c:showVal val="0"/>
          <c:showCatName val="1"/>
          <c:showSerName val="0"/>
          <c:showPercent val="0"/>
          <c:showBubbleSize val="0"/>
          <c:extLst>
            <c:ext xmlns:c15="http://schemas.microsoft.com/office/drawing/2012/chart" uri="{CE6537A1-D6FC-4f65-9D91-7224C49458BB}">
              <c15:xForSave val="1"/>
            </c:ext>
          </c:extLst>
        </c:dLbl>
      </c:pivotFmt>
      <c:pivotFmt>
        <c:idx val="51"/>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showLegendKey val="0"/>
          <c:showVal val="0"/>
          <c:showCatName val="1"/>
          <c:showSerName val="0"/>
          <c:showPercent val="0"/>
          <c:showBubbleSize val="0"/>
          <c:extLst>
            <c:ext xmlns:c15="http://schemas.microsoft.com/office/drawing/2012/chart" uri="{CE6537A1-D6FC-4f65-9D91-7224C49458BB}">
              <c15:xForSave val="1"/>
            </c:ext>
          </c:extLst>
        </c:dLbl>
      </c:pivotFmt>
      <c:pivotFmt>
        <c:idx val="5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3"/>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showLegendKey val="0"/>
          <c:showVal val="0"/>
          <c:showCatName val="1"/>
          <c:showSerName val="0"/>
          <c:showPercent val="0"/>
          <c:showBubbleSize val="0"/>
          <c:extLst>
            <c:ext xmlns:c15="http://schemas.microsoft.com/office/drawing/2012/chart" uri="{CE6537A1-D6FC-4f65-9D91-7224C49458BB}">
              <c15:xForSave val="1"/>
            </c:ext>
          </c:extLst>
        </c:dLbl>
      </c:pivotFmt>
      <c:pivotFmt>
        <c:idx val="5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55"/>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pivotFmt>
      <c:pivotFmt>
        <c:idx val="56"/>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pivotFmt>
      <c:pivotFmt>
        <c:idx val="57"/>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pivotFmt>
      <c:pivotFmt>
        <c:idx val="58"/>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pivotFmt>
      <c:pivotFmt>
        <c:idx val="5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6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pivotFmt>
      <c:pivotFmt>
        <c:idx val="61"/>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pivotFmt>
      <c:pivotFmt>
        <c:idx val="62"/>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pivotFmt>
      <c:pivotFmt>
        <c:idx val="63"/>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pivotFmt>
    </c:pivotFmts>
    <c:view3D>
      <c:rotX val="3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Feuil6!$B$1</c:f>
              <c:strCache>
                <c:ptCount val="1"/>
                <c:pt idx="0">
                  <c:v>Total</c:v>
                </c:pt>
              </c:strCache>
            </c:strRef>
          </c:tx>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invertIfNegative val="0"/>
          <c:dPt>
            <c:idx val="1"/>
            <c:invertIfNegative val="0"/>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invertIfNegative val="0"/>
            <c:bubble3D val="0"/>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invertIfNegative val="0"/>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9"/>
            <c:invertIfNegative val="0"/>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Feuil6!$A$2:$A$12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Feuil6!$B$2:$B$12</c:f>
              <c:numCache>
                <c:formatCode>General</c:formatCode>
                <c:ptCount val="10"/>
                <c:pt idx="1">
                  <c:v>2</c:v>
                </c:pt>
                <c:pt idx="6">
                  <c:v>2</c:v>
                </c:pt>
                <c:pt idx="7">
                  <c:v>4</c:v>
                </c:pt>
                <c:pt idx="9">
                  <c:v>4</c:v>
                </c:pt>
              </c:numCache>
            </c:numRef>
          </c:val>
        </c:ser>
        <c:dLbls>
          <c:showLegendKey val="0"/>
          <c:showVal val="0"/>
          <c:showCatName val="0"/>
          <c:showSerName val="0"/>
          <c:showPercent val="0"/>
          <c:showBubbleSize val="0"/>
        </c:dLbls>
        <c:gapWidth val="150"/>
        <c:gapDepth val="0"/>
        <c:shape val="box"/>
        <c:axId val="741226464"/>
        <c:axId val="741229992"/>
        <c:axId val="0"/>
      </c:bar3DChart>
      <c:catAx>
        <c:axId val="741226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41229992"/>
        <c:crosses val="autoZero"/>
        <c:auto val="1"/>
        <c:lblAlgn val="ctr"/>
        <c:lblOffset val="100"/>
        <c:noMultiLvlLbl val="0"/>
      </c:catAx>
      <c:valAx>
        <c:axId val="741229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41226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sstq.xlsx]Feuil5!Tableau croisé dynamique3</c:name>
    <c:fmtId val="-1"/>
  </c:pivotSource>
  <c:chart>
    <c:autoTitleDeleted val="1"/>
    <c:pivotFmts>
      <c:pivotFmt>
        <c:idx val="0"/>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1"/>
          <c:showSerName val="0"/>
          <c:showPercent val="1"/>
          <c:showBubbleSize val="0"/>
          <c:extLst>
            <c:ext xmlns:c15="http://schemas.microsoft.com/office/drawing/2012/chart" uri="{CE6537A1-D6FC-4f65-9D91-7224C49458BB}"/>
          </c:extLst>
        </c:dLbl>
      </c:pivotFmt>
      <c:pivotFmt>
        <c:idx val="6"/>
        <c:dLbl>
          <c:idx val="0"/>
          <c:layout>
            <c:manualLayout>
              <c:x val="-0.11252985564304462"/>
              <c:y val="7.7710702828813066E-2"/>
            </c:manualLayout>
          </c:layou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0.19767344706911635"/>
              <c:y val="1.2161344415281413E-2"/>
            </c:manualLayout>
          </c:layout>
          <c:showLegendKey val="0"/>
          <c:showVal val="0"/>
          <c:showCatName val="1"/>
          <c:showSerName val="0"/>
          <c:showPercent val="1"/>
          <c:showBubbleSize val="0"/>
          <c:extLst>
            <c:ext xmlns:c15="http://schemas.microsoft.com/office/drawing/2012/chart" uri="{CE6537A1-D6FC-4f65-9D91-7224C49458BB}"/>
          </c:extLst>
        </c:dLbl>
      </c:pivotFmt>
      <c:pivotFmt>
        <c:idx val="8"/>
        <c:dLbl>
          <c:idx val="0"/>
          <c:layout>
            <c:manualLayout>
              <c:x val="-7.6076334208223975E-2"/>
              <c:y val="-3.1051326917468651E-3"/>
            </c:manualLayout>
          </c:layout>
          <c:showLegendKey val="0"/>
          <c:showVal val="0"/>
          <c:showCatName val="1"/>
          <c:showSerName val="0"/>
          <c:showPercent val="1"/>
          <c:showBubbleSize val="0"/>
          <c:extLst>
            <c:ext xmlns:c15="http://schemas.microsoft.com/office/drawing/2012/chart" uri="{CE6537A1-D6FC-4f65-9D91-7224C49458BB}"/>
          </c:extLst>
        </c:dLbl>
      </c:pivotFmt>
      <c:pivotFmt>
        <c:idx val="9"/>
        <c:dLbl>
          <c:idx val="0"/>
          <c:layout>
            <c:manualLayout>
              <c:x val="3.8042979002624669E-2"/>
              <c:y val="-2.1890492855059784E-3"/>
            </c:manualLayout>
          </c:layout>
          <c:showLegendKey val="0"/>
          <c:showVal val="0"/>
          <c:showCatName val="1"/>
          <c:showSerName val="0"/>
          <c:showPercent val="1"/>
          <c:showBubbleSize val="0"/>
          <c:extLst>
            <c:ext xmlns:c15="http://schemas.microsoft.com/office/drawing/2012/chart" uri="{CE6537A1-D6FC-4f65-9D91-7224C49458BB}"/>
          </c:extLst>
        </c:dLbl>
      </c:pivotFmt>
      <c:pivotFmt>
        <c:idx val="10"/>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1"/>
        <c:dLbl>
          <c:idx val="0"/>
          <c:layout>
            <c:manualLayout>
              <c:x val="-0.12501268591426071"/>
              <c:y val="2.393044619422572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2"/>
        <c:dLbl>
          <c:idx val="0"/>
          <c:layout>
            <c:manualLayout>
              <c:x val="-1.1574146981627297E-2"/>
              <c:y val="2.5138524351122778E-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3"/>
        <c:dLbl>
          <c:idx val="0"/>
          <c:layout>
            <c:manualLayout>
              <c:x val="4.0535870516185478E-2"/>
              <c:y val="-5.1434091571886935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pPr>
            <a:solidFill>
              <a:schemeClr val="accent1"/>
            </a:solidFill>
            <a:ln w="9525">
              <a:solidFill>
                <a:schemeClr val="lt1"/>
              </a:solidFill>
            </a:ln>
            <a:effectLst/>
          </c:spPr>
        </c:marker>
        <c:dLbl>
          <c:idx val="0"/>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5"/>
        <c:dLbl>
          <c:idx val="0"/>
          <c:layout>
            <c:manualLayout>
              <c:x val="5.664479440069986E-2"/>
              <c:y val="-3.751822688830563E-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6"/>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17"/>
        <c:dLbl>
          <c:idx val="0"/>
          <c:layout>
            <c:manualLayout>
              <c:x val="3.5052493438320211E-2"/>
              <c:y val="-1.6738116068824731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1.4774278215223096E-2"/>
              <c:y val="-2.8556430446194225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9"/>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0"/>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1"/>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2"/>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3"/>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4"/>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6"/>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7"/>
        <c:dLbl>
          <c:idx val="0"/>
          <c:layout>
            <c:manualLayout>
              <c:x val="-7.8256342957130354E-2"/>
              <c:y val="0.15497922134733158"/>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28"/>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9"/>
        <c:dLbl>
          <c:idx val="0"/>
          <c:layout>
            <c:manualLayout>
              <c:x val="-3.660159667541555E-2"/>
              <c:y val="2.786708953047535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0"/>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1"/>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2"/>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3"/>
        <c:dLbl>
          <c:idx val="0"/>
          <c:layout>
            <c:manualLayout>
              <c:x val="6.1596456692913387E-2"/>
              <c:y val="-4.0661271507728199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4"/>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5"/>
        <c:dLbl>
          <c:idx val="0"/>
          <c:layout>
            <c:manualLayout>
              <c:x val="0.25081496062992126"/>
              <c:y val="1.304097404491105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6"/>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chemeClr val="accent2"/>
          </a:solidFill>
          <a:ln>
            <a:noFill/>
          </a:ln>
          <a:effectLst>
            <a:outerShdw blurRad="63500" sx="102000" sy="102000" algn="ctr" rotWithShape="0">
              <a:prstClr val="black">
                <a:alpha val="20000"/>
              </a:prstClr>
            </a:outerShdw>
          </a:effectLst>
        </c:spPr>
        <c:dLbl>
          <c:idx val="0"/>
          <c:layout>
            <c:manualLayout>
              <c:x val="2.2222222222222223E-2"/>
              <c:y val="-6.48148148148148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8"/>
        <c:spPr>
          <a:solidFill>
            <a:schemeClr val="accent4"/>
          </a:solidFill>
          <a:ln>
            <a:noFill/>
          </a:ln>
          <a:effectLst>
            <a:outerShdw blurRad="63500" sx="102000" sy="102000" algn="ctr" rotWithShape="0">
              <a:prstClr val="black">
                <a:alpha val="20000"/>
              </a:prstClr>
            </a:outerShdw>
          </a:effectLst>
        </c:spPr>
        <c:dLbl>
          <c:idx val="0"/>
          <c:layout>
            <c:manualLayout>
              <c:x val="-7.4999999999999997E-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9"/>
        <c:spPr>
          <a:solidFill>
            <a:schemeClr val="accent3"/>
          </a:solidFill>
          <a:ln>
            <a:noFill/>
          </a:ln>
          <a:effectLst>
            <a:outerShdw blurRad="63500" sx="102000" sy="102000" algn="ctr" rotWithShape="0">
              <a:prstClr val="black">
                <a:alpha val="20000"/>
              </a:prstClr>
            </a:outerShdw>
          </a:effectLst>
        </c:spPr>
        <c:dLbl>
          <c:idx val="0"/>
          <c:layout>
            <c:manualLayout>
              <c:x val="0"/>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2"/>
        <c:spPr>
          <a:solidFill>
            <a:schemeClr val="accent6"/>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3"/>
        <c:spPr>
          <a:solidFill>
            <a:schemeClr val="accent1">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4"/>
        <c:spPr>
          <a:solidFill>
            <a:schemeClr val="accent2">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5"/>
        <c:spPr>
          <a:solidFill>
            <a:schemeClr val="accent3">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6"/>
        <c:spPr>
          <a:solidFill>
            <a:schemeClr val="accent4">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7"/>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chemeClr val="accent1"/>
          </a:solidFill>
          <a:ln>
            <a:noFill/>
          </a:ln>
          <a:effectLst>
            <a:outerShdw blurRad="63500" sx="102000" sy="102000" algn="ctr" rotWithShape="0">
              <a:prstClr val="black">
                <a:alpha val="20000"/>
              </a:prstClr>
            </a:outerShdw>
          </a:effectLst>
        </c:spPr>
        <c:dLbl>
          <c:idx val="0"/>
          <c:layout>
            <c:manualLayout>
              <c:x val="2.2222222222222223E-2"/>
              <c:y val="-6.48148148148148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0"/>
        <c:spPr>
          <a:solidFill>
            <a:schemeClr val="accent1"/>
          </a:solidFill>
          <a:ln>
            <a:noFill/>
          </a:ln>
          <a:effectLst>
            <a:outerShdw blurRad="63500" sx="102000" sy="102000" algn="ctr" rotWithShape="0">
              <a:prstClr val="black">
                <a:alpha val="20000"/>
              </a:prstClr>
            </a:outerShdw>
          </a:effectLst>
        </c:spPr>
        <c:dLbl>
          <c:idx val="0"/>
          <c:layout>
            <c:manualLayout>
              <c:x val="0"/>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1"/>
        <c:spPr>
          <a:solidFill>
            <a:schemeClr val="accent1"/>
          </a:solidFill>
          <a:ln>
            <a:noFill/>
          </a:ln>
          <a:effectLst>
            <a:outerShdw blurRad="63500" sx="102000" sy="102000" algn="ctr" rotWithShape="0">
              <a:prstClr val="black">
                <a:alpha val="20000"/>
              </a:prstClr>
            </a:outerShdw>
          </a:effectLst>
        </c:spPr>
        <c:dLbl>
          <c:idx val="0"/>
          <c:layout>
            <c:manualLayout>
              <c:x val="-7.4999999999999997E-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chemeClr val="accent1"/>
          </a:solidFill>
          <a:ln>
            <a:noFill/>
          </a:ln>
          <a:effectLst>
            <a:outerShdw blurRad="63500" sx="102000" sy="102000" algn="ctr" rotWithShape="0">
              <a:prstClr val="black">
                <a:alpha val="20000"/>
              </a:prstClr>
            </a:outerShdw>
          </a:effectLst>
        </c:spPr>
        <c:dLbl>
          <c:idx val="0"/>
          <c:layout>
            <c:manualLayout>
              <c:x val="2.2222222222222223E-2"/>
              <c:y val="-6.48148148148148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61"/>
        <c:spPr>
          <a:solidFill>
            <a:schemeClr val="accent1"/>
          </a:solidFill>
          <a:ln>
            <a:noFill/>
          </a:ln>
          <a:effectLst>
            <a:outerShdw blurRad="63500" sx="102000" sy="102000" algn="ctr" rotWithShape="0">
              <a:prstClr val="black">
                <a:alpha val="20000"/>
              </a:prstClr>
            </a:outerShdw>
          </a:effectLst>
        </c:spPr>
        <c:dLbl>
          <c:idx val="0"/>
          <c:layout>
            <c:manualLayout>
              <c:x val="0"/>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62"/>
        <c:spPr>
          <a:solidFill>
            <a:schemeClr val="accent1"/>
          </a:solidFill>
          <a:ln>
            <a:noFill/>
          </a:ln>
          <a:effectLst>
            <a:outerShdw blurRad="63500" sx="102000" sy="102000" algn="ctr" rotWithShape="0">
              <a:prstClr val="black">
                <a:alpha val="20000"/>
              </a:prstClr>
            </a:outerShdw>
          </a:effectLst>
        </c:spPr>
        <c:dLbl>
          <c:idx val="0"/>
          <c:layout>
            <c:manualLayout>
              <c:x val="-7.4999999999999997E-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6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Feuil5!$B$1</c:f>
              <c:strCache>
                <c:ptCount val="1"/>
                <c:pt idx="0">
                  <c:v>Total</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Pt>
            <c:idx val="8"/>
            <c:bubble3D val="0"/>
            <c:spPr>
              <a:solidFill>
                <a:schemeClr val="accent3">
                  <a:lumMod val="60000"/>
                </a:schemeClr>
              </a:solidFill>
              <a:ln>
                <a:noFill/>
              </a:ln>
              <a:effectLst>
                <a:outerShdw blurRad="63500" sx="102000" sy="102000" algn="ctr" rotWithShape="0">
                  <a:prstClr val="black">
                    <a:alpha val="20000"/>
                  </a:prstClr>
                </a:outerShdw>
              </a:effectLst>
            </c:spPr>
          </c:dPt>
          <c:dPt>
            <c:idx val="9"/>
            <c:bubble3D val="0"/>
            <c:spPr>
              <a:solidFill>
                <a:schemeClr val="accent4">
                  <a:lumMod val="60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1"/>
              <c:layout>
                <c:manualLayout>
                  <c:x val="2.2222222222222223E-2"/>
                  <c:y val="-6.48148148148148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2"/>
              <c:layout>
                <c:manualLayout>
                  <c:x val="0"/>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3"/>
              <c:layout>
                <c:manualLayout>
                  <c:x val="-7.4999999999999997E-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dLbl>
              <c:idx val="8"/>
              <c:layout>
                <c:manualLayout>
                  <c:x val="-5.2777777777777826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0">
                  <c:v>450</c:v>
                </c:pt>
                <c:pt idx="1">
                  <c:v>40</c:v>
                </c:pt>
                <c:pt idx="2">
                  <c:v>42</c:v>
                </c:pt>
                <c:pt idx="3">
                  <c:v>6</c:v>
                </c:pt>
                <c:pt idx="4">
                  <c:v>349</c:v>
                </c:pt>
                <c:pt idx="7">
                  <c:v>324</c:v>
                </c:pt>
                <c:pt idx="8">
                  <c:v>82</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[Graphique dans Microsoft Word]Feuil5!Tableau croisé dynamique3</c:name>
    <c:fmtId val="-1"/>
  </c:pivotSource>
  <c:chart>
    <c:autoTitleDeleted val="1"/>
    <c:pivotFmts>
      <c:pivotFmt>
        <c:idx val="0"/>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1"/>
          <c:showCatName val="0"/>
          <c:showSerName val="0"/>
          <c:showPercent val="0"/>
          <c:showBubbleSize val="0"/>
          <c:extLst>
            <c:ext xmlns:c15="http://schemas.microsoft.com/office/drawing/2012/chart" uri="{CE6537A1-D6FC-4f65-9D91-7224C49458BB}"/>
          </c:extLst>
        </c:dLbl>
      </c:pivotFmt>
      <c:pivotFmt>
        <c:idx val="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4"/>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dLbl>
          <c:idx val="0"/>
          <c:layout>
            <c:manualLayout>
              <c:x val="-2.7210884353741537E-2"/>
              <c:y val="-1.161946525757020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7"/>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8"/>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1"/>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Lbl>
          <c:idx val="0"/>
          <c:layout>
            <c:manualLayout>
              <c:x val="-2.7210884353741537E-2"/>
              <c:y val="-1.161946525757020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2"/>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4"/>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17"/>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8"/>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1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1"/>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2"/>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Lbl>
          <c:idx val="0"/>
          <c:layout>
            <c:manualLayout>
              <c:x val="-2.7210884353741537E-2"/>
              <c:y val="-1.161946525757020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extLst>
        </c:dLbl>
      </c:pivotFmt>
      <c:pivotFmt>
        <c:idx val="2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4"/>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2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s>
    <c:plotArea>
      <c:layout/>
      <c:doughnutChart>
        <c:varyColors val="1"/>
        <c:ser>
          <c:idx val="0"/>
          <c:order val="0"/>
          <c:tx>
            <c:strRef>
              <c:f>Feuil5!$B$1</c:f>
              <c:strCache>
                <c:ptCount val="1"/>
                <c:pt idx="0">
                  <c:v>Total</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dPt>
          <c:dPt>
            <c:idx val="9"/>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dPt>
          <c:dLbls>
            <c:dLbl>
              <c:idx val="3"/>
              <c:layout>
                <c:manualLayout>
                  <c:x val="-0.18978925679892619"/>
                  <c:y val="-4.7459762444948629E-2"/>
                </c:manualLayout>
              </c:layout>
              <c:showLegendKey val="0"/>
              <c:showVal val="1"/>
              <c:showCatName val="1"/>
              <c:showSerName val="0"/>
              <c:showPercent val="1"/>
              <c:showBubbleSize val="0"/>
              <c:separator>
</c:separator>
              <c:extLst>
                <c:ext xmlns:c15="http://schemas.microsoft.com/office/drawing/2012/chart" uri="{CE6537A1-D6FC-4f65-9D91-7224C49458BB}"/>
              </c:extLst>
            </c:dLbl>
            <c:dLbl>
              <c:idx val="5"/>
              <c:layout>
                <c:manualLayout>
                  <c:x val="-2.7210884353741537E-2"/>
                  <c:y val="-1.1619465257570204E-2"/>
                </c:manualLayout>
              </c:layout>
              <c:showLegendKey val="0"/>
              <c:showVal val="1"/>
              <c:showCatName val="1"/>
              <c:showSerName val="0"/>
              <c:showPercent val="1"/>
              <c:showBubbleSize val="0"/>
              <c:separator>
</c:separator>
              <c:extLst>
                <c:ext xmlns:c15="http://schemas.microsoft.com/office/drawing/2012/chart" uri="{CE6537A1-D6FC-4f65-9D91-7224C49458BB}"/>
              </c:extLst>
            </c:dLbl>
            <c:dLbl>
              <c:idx val="7"/>
              <c:layout>
                <c:manualLayout>
                  <c:x val="-3.5128882505322014E-2"/>
                  <c:y val="-0.10653249699719738"/>
                </c:manualLayout>
              </c:layout>
              <c:showLegendKey val="0"/>
              <c:showVal val="1"/>
              <c:showCatName val="1"/>
              <c:showSerName val="0"/>
              <c:showPercent val="1"/>
              <c:showBubbleSize val="0"/>
              <c:separator>
</c:separator>
              <c:extLst>
                <c:ext xmlns:c15="http://schemas.microsoft.com/office/drawing/2012/chart" uri="{CE6537A1-D6FC-4f65-9D91-7224C49458BB}"/>
              </c:extLst>
            </c:dLbl>
            <c:dLbl>
              <c:idx val="8"/>
              <c:layout>
                <c:manualLayout>
                  <c:x val="0.12718007387280406"/>
                  <c:y val="-6.279119859793475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extLst>
                <c:ext xmlns:c15="http://schemas.microsoft.com/office/drawing/2012/chart" uri="{CE6537A1-D6FC-4f65-9D91-7224C49458BB}">
                  <c15:layout>
                    <c:manualLayout>
                      <c:w val="0.14172099823027007"/>
                      <c:h val="0.18714604742203836"/>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0">
                  <c:v>129</c:v>
                </c:pt>
                <c:pt idx="3">
                  <c:v>2</c:v>
                </c:pt>
                <c:pt idx="7">
                  <c:v>3</c:v>
                </c:pt>
                <c:pt idx="8">
                  <c:v>6</c:v>
                </c:pt>
              </c:numCache>
            </c:numRef>
          </c:val>
        </c:ser>
        <c:dLbls>
          <c:showLegendKey val="0"/>
          <c:showVal val="0"/>
          <c:showCatName val="0"/>
          <c:showSerName val="0"/>
          <c:showPercent val="0"/>
          <c:showBubbleSize val="0"/>
          <c:showLeaderLines val="1"/>
        </c:dLbls>
        <c:firstSliceAng val="0"/>
        <c:holeSize val="7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sstq.xlsx]Feuil5!Tableau croisé dynamique3</c:name>
    <c:fmtId val="-1"/>
  </c:pivotSource>
  <c:chart>
    <c:autoTitleDeleted val="1"/>
    <c:pivotFmts>
      <c:pivotFmt>
        <c:idx val="0"/>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1"/>
          <c:showSerName val="0"/>
          <c:showPercent val="1"/>
          <c:showBubbleSize val="0"/>
          <c:extLst>
            <c:ext xmlns:c15="http://schemas.microsoft.com/office/drawing/2012/chart" uri="{CE6537A1-D6FC-4f65-9D91-7224C49458BB}"/>
          </c:extLst>
        </c:dLbl>
      </c:pivotFmt>
      <c:pivotFmt>
        <c:idx val="6"/>
        <c:dLbl>
          <c:idx val="0"/>
          <c:layout>
            <c:manualLayout>
              <c:x val="-0.11252985564304462"/>
              <c:y val="7.7710702828813066E-2"/>
            </c:manualLayout>
          </c:layou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0.19767344706911635"/>
              <c:y val="1.2161344415281413E-2"/>
            </c:manualLayout>
          </c:layout>
          <c:showLegendKey val="0"/>
          <c:showVal val="0"/>
          <c:showCatName val="1"/>
          <c:showSerName val="0"/>
          <c:showPercent val="1"/>
          <c:showBubbleSize val="0"/>
          <c:extLst>
            <c:ext xmlns:c15="http://schemas.microsoft.com/office/drawing/2012/chart" uri="{CE6537A1-D6FC-4f65-9D91-7224C49458BB}"/>
          </c:extLst>
        </c:dLbl>
      </c:pivotFmt>
      <c:pivotFmt>
        <c:idx val="8"/>
        <c:dLbl>
          <c:idx val="0"/>
          <c:layout>
            <c:manualLayout>
              <c:x val="-7.6076334208223975E-2"/>
              <c:y val="-3.1051326917468651E-3"/>
            </c:manualLayout>
          </c:layout>
          <c:showLegendKey val="0"/>
          <c:showVal val="0"/>
          <c:showCatName val="1"/>
          <c:showSerName val="0"/>
          <c:showPercent val="1"/>
          <c:showBubbleSize val="0"/>
          <c:extLst>
            <c:ext xmlns:c15="http://schemas.microsoft.com/office/drawing/2012/chart" uri="{CE6537A1-D6FC-4f65-9D91-7224C49458BB}"/>
          </c:extLst>
        </c:dLbl>
      </c:pivotFmt>
      <c:pivotFmt>
        <c:idx val="9"/>
        <c:dLbl>
          <c:idx val="0"/>
          <c:layout>
            <c:manualLayout>
              <c:x val="3.8042979002624669E-2"/>
              <c:y val="-2.1890492855059784E-3"/>
            </c:manualLayout>
          </c:layout>
          <c:showLegendKey val="0"/>
          <c:showVal val="0"/>
          <c:showCatName val="1"/>
          <c:showSerName val="0"/>
          <c:showPercent val="1"/>
          <c:showBubbleSize val="0"/>
          <c:extLst>
            <c:ext xmlns:c15="http://schemas.microsoft.com/office/drawing/2012/chart" uri="{CE6537A1-D6FC-4f65-9D91-7224C49458BB}"/>
          </c:extLst>
        </c:dLbl>
      </c:pivotFmt>
      <c:pivotFmt>
        <c:idx val="10"/>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1"/>
        <c:dLbl>
          <c:idx val="0"/>
          <c:layout>
            <c:manualLayout>
              <c:x val="-0.12501268591426071"/>
              <c:y val="2.393044619422572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2"/>
        <c:dLbl>
          <c:idx val="0"/>
          <c:layout>
            <c:manualLayout>
              <c:x val="-1.1574146981627297E-2"/>
              <c:y val="2.5138524351122778E-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3"/>
        <c:dLbl>
          <c:idx val="0"/>
          <c:layout>
            <c:manualLayout>
              <c:x val="4.0535870516185478E-2"/>
              <c:y val="-5.1434091571886935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pPr>
            <a:solidFill>
              <a:schemeClr val="accent1"/>
            </a:solidFill>
            <a:ln w="9525">
              <a:solidFill>
                <a:schemeClr val="lt1"/>
              </a:solidFill>
            </a:ln>
            <a:effectLst/>
          </c:spPr>
        </c:marker>
        <c:dLbl>
          <c:idx val="0"/>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5"/>
        <c:dLbl>
          <c:idx val="0"/>
          <c:layout>
            <c:manualLayout>
              <c:x val="5.664479440069986E-2"/>
              <c:y val="-3.751822688830563E-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6"/>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17"/>
        <c:dLbl>
          <c:idx val="0"/>
          <c:layout>
            <c:manualLayout>
              <c:x val="3.5052493438320211E-2"/>
              <c:y val="-1.6738116068824731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1.4774278215223096E-2"/>
              <c:y val="-2.8556430446194225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9"/>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0"/>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1"/>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2"/>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3"/>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4"/>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6"/>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7"/>
        <c:dLbl>
          <c:idx val="0"/>
          <c:layout>
            <c:manualLayout>
              <c:x val="-7.8256342957130354E-2"/>
              <c:y val="0.15497922134733158"/>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28"/>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9"/>
        <c:dLbl>
          <c:idx val="0"/>
          <c:layout>
            <c:manualLayout>
              <c:x val="-3.660159667541555E-2"/>
              <c:y val="2.786708953047535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0"/>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1"/>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2"/>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3"/>
        <c:dLbl>
          <c:idx val="0"/>
          <c:layout>
            <c:manualLayout>
              <c:x val="6.1596456692913387E-2"/>
              <c:y val="-4.0661271507728199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4"/>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5"/>
        <c:dLbl>
          <c:idx val="0"/>
          <c:layout>
            <c:manualLayout>
              <c:x val="0.25081496062992126"/>
              <c:y val="1.304097404491105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6"/>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dLbl>
          <c:idx val="0"/>
          <c:layout>
            <c:manualLayout>
              <c:x val="2.2222222222222223E-2"/>
              <c:y val="-6.4814814814814811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8"/>
        <c:dLbl>
          <c:idx val="0"/>
          <c:layout>
            <c:manualLayout>
              <c:x val="-7.4999999999999997E-2"/>
              <c:y val="1.8518518518518517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9"/>
        <c:dLbl>
          <c:idx val="0"/>
          <c:layout>
            <c:manualLayout>
              <c:x val="0"/>
              <c:y val="-4.6296296296296294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40"/>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1"/>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2"/>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3"/>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4"/>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5"/>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6"/>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7"/>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a:outerShdw blurRad="63500" sx="102000" sy="102000" algn="ctr" rotWithShape="0">
              <a:prstClr val="black">
                <a:alpha val="20000"/>
              </a:prstClr>
            </a:outerShdw>
          </a:effectLst>
        </c:spPr>
        <c:marker>
          <c:symbol val="none"/>
        </c:marke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49"/>
        <c:spPr>
          <a:solidFill>
            <a:schemeClr val="accent1"/>
          </a:solidFill>
          <a:ln>
            <a:noFill/>
          </a:ln>
          <a:effectLst>
            <a:outerShdw blurRad="63500" sx="102000" sy="102000" algn="ctr" rotWithShape="0">
              <a:prstClr val="black">
                <a:alpha val="20000"/>
              </a:prstClr>
            </a:outerShdw>
          </a:effectLst>
        </c:spP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xForSave val="1"/>
            </c:ext>
          </c:extLst>
        </c:dLbl>
      </c:pivotFmt>
      <c:pivotFmt>
        <c:idx val="50"/>
        <c:spPr>
          <a:solidFill>
            <a:schemeClr val="accent1"/>
          </a:solidFill>
          <a:ln>
            <a:noFill/>
          </a:ln>
          <a:effectLst>
            <a:outerShdw blurRad="63500" sx="102000" sy="102000" algn="ctr" rotWithShape="0">
              <a:prstClr val="black">
                <a:alpha val="20000"/>
              </a:prstClr>
            </a:outerShdw>
          </a:effectLst>
        </c:spP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xForSave val="1"/>
            </c:ext>
          </c:extLst>
        </c:dLbl>
      </c:pivotFmt>
      <c:pivotFmt>
        <c:idx val="51"/>
        <c:spPr>
          <a:solidFill>
            <a:schemeClr val="accent1"/>
          </a:solidFill>
          <a:ln>
            <a:noFill/>
          </a:ln>
          <a:effectLst>
            <a:outerShdw blurRad="63500" sx="102000" sy="102000" algn="ctr" rotWithShape="0">
              <a:prstClr val="black">
                <a:alpha val="20000"/>
              </a:prstClr>
            </a:outerShdw>
          </a:effectLst>
        </c:spP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xForSave val="1"/>
            </c:ext>
          </c:extLst>
        </c:dLbl>
      </c:pivotFmt>
      <c:pivotFmt>
        <c:idx val="52"/>
        <c:spPr>
          <a:solidFill>
            <a:schemeClr val="accent1"/>
          </a:solidFill>
          <a:ln>
            <a:noFill/>
          </a:ln>
          <a:effectLst>
            <a:outerShdw blurRad="63500" sx="102000" sy="102000" algn="ctr" rotWithShape="0">
              <a:prstClr val="black">
                <a:alpha val="20000"/>
              </a:prstClr>
            </a:outerShdw>
          </a:effectLst>
        </c:spP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xForSave val="1"/>
            </c:ext>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xForSave val="1"/>
            </c:ext>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xForSave val="1"/>
            </c:ext>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xForSave val="1"/>
            </c:ext>
          </c:extLst>
        </c:dLbl>
      </c:pivotFmt>
      <c:pivotFmt>
        <c:idx val="56"/>
        <c:spPr>
          <a:solidFill>
            <a:schemeClr val="accent1"/>
          </a:solidFill>
          <a:ln>
            <a:noFill/>
          </a:ln>
          <a:effectLst>
            <a:outerShdw blurRad="63500" sx="102000" sy="102000" algn="ctr" rotWithShape="0">
              <a:prstClr val="black">
                <a:alpha val="20000"/>
              </a:prstClr>
            </a:outerShdw>
          </a:effectLst>
        </c:spPr>
        <c:dLbl>
          <c:idx val="0"/>
          <c:layout>
            <c:manualLayout>
              <c:x val="-1.0185067526415994E-16"/>
              <c:y val="-7.407407407407407E-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xForSave val="1"/>
            </c:ext>
          </c:extLst>
        </c:dLbl>
      </c:pivotFmt>
      <c:pivotFmt>
        <c:idx val="58"/>
        <c:spPr>
          <a:solidFill>
            <a:schemeClr val="accent1"/>
          </a:solidFill>
          <a:ln>
            <a:noFill/>
          </a:ln>
          <a:effectLst>
            <a:outerShdw blurRad="63500" sx="102000" sy="102000" algn="ctr" rotWithShape="0">
              <a:prstClr val="black">
                <a:alpha val="20000"/>
              </a:prstClr>
            </a:outerShdw>
          </a:effectLst>
        </c:spP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xForSave val="1"/>
            </c:ext>
          </c:extLst>
        </c:dLbl>
      </c:pivotFmt>
      <c:pivotFmt>
        <c:idx val="59"/>
        <c:spPr>
          <a:solidFill>
            <a:schemeClr val="accent1"/>
          </a:solidFill>
          <a:ln>
            <a:noFill/>
          </a:ln>
          <a:effectLst>
            <a:outerShdw blurRad="63500" sx="102000" sy="102000" algn="ctr" rotWithShape="0">
              <a:prstClr val="black">
                <a:alpha val="20000"/>
              </a:prstClr>
            </a:outerShdw>
          </a:effectLst>
        </c:spPr>
        <c:marker>
          <c:symbol val="none"/>
        </c:marke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0"/>
        <c:spPr>
          <a:solidFill>
            <a:schemeClr val="accent1"/>
          </a:solidFill>
          <a:ln>
            <a:noFill/>
          </a:ln>
          <a:effectLst>
            <a:outerShdw blurRad="63500" sx="102000" sy="102000" algn="ctr" rotWithShape="0">
              <a:prstClr val="black">
                <a:alpha val="20000"/>
              </a:prstClr>
            </a:outerShdw>
          </a:effectLst>
        </c:spPr>
        <c:dLbl>
          <c:idx val="0"/>
          <c:layout>
            <c:manualLayout>
              <c:x val="-1.0185067526415994E-16"/>
              <c:y val="-7.407407407407407E-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1"/>
        <c:spPr>
          <a:solidFill>
            <a:schemeClr val="accent1"/>
          </a:solidFill>
          <a:ln>
            <a:noFill/>
          </a:ln>
          <a:effectLst>
            <a:outerShdw blurRad="63500" sx="102000" sy="102000" algn="ctr" rotWithShape="0">
              <a:prstClr val="black">
                <a:alpha val="20000"/>
              </a:prstClr>
            </a:outerShdw>
          </a:effectLst>
        </c:spPr>
        <c:marker>
          <c:symbol val="none"/>
        </c:marker>
        <c:dLbl>
          <c:idx val="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2"/>
        <c:spPr>
          <a:solidFill>
            <a:schemeClr val="accent1"/>
          </a:solidFill>
          <a:ln>
            <a:noFill/>
          </a:ln>
          <a:effectLst>
            <a:outerShdw blurRad="63500" sx="102000" sy="102000" algn="ctr" rotWithShape="0">
              <a:prstClr val="black">
                <a:alpha val="20000"/>
              </a:prstClr>
            </a:outerShdw>
          </a:effectLst>
        </c:spPr>
        <c:dLbl>
          <c:idx val="0"/>
          <c:layout>
            <c:manualLayout>
              <c:x val="-1.0185067526415994E-16"/>
              <c:y val="-7.407407407407407E-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s>
    <c:plotArea>
      <c:layout/>
      <c:barChart>
        <c:barDir val="col"/>
        <c:grouping val="stacked"/>
        <c:varyColors val="0"/>
        <c:ser>
          <c:idx val="0"/>
          <c:order val="0"/>
          <c:tx>
            <c:strRef>
              <c:f>Feuil5!$B$1</c:f>
              <c:strCache>
                <c:ptCount val="1"/>
                <c:pt idx="0">
                  <c:v>Total</c:v>
                </c:pt>
              </c:strCache>
            </c:strRef>
          </c:tx>
          <c:spPr>
            <a:solidFill>
              <a:schemeClr val="accent1"/>
            </a:solidFill>
            <a:ln>
              <a:noFill/>
            </a:ln>
            <a:effectLst>
              <a:outerShdw blurRad="63500" sx="102000" sy="102000" algn="ctr" rotWithShape="0">
                <a:prstClr val="black">
                  <a:alpha val="20000"/>
                </a:prstClr>
              </a:outerShdw>
            </a:effectLst>
          </c:spPr>
          <c:invertIfNegative val="0"/>
          <c:dLbls>
            <c:dLbl>
              <c:idx val="7"/>
              <c:layout>
                <c:manualLayout>
                  <c:x val="-1.0185067526415994E-16"/>
                  <c:y val="-7.407407407407407E-2"/>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0">
                  <c:v>400</c:v>
                </c:pt>
                <c:pt idx="7">
                  <c:v>1</c:v>
                </c:pt>
              </c:numCache>
            </c:numRef>
          </c:val>
        </c:ser>
        <c:dLbls>
          <c:showLegendKey val="0"/>
          <c:showVal val="0"/>
          <c:showCatName val="0"/>
          <c:showSerName val="0"/>
          <c:showPercent val="0"/>
          <c:showBubbleSize val="0"/>
        </c:dLbls>
        <c:gapWidth val="150"/>
        <c:overlap val="100"/>
        <c:axId val="627517576"/>
        <c:axId val="627517968"/>
      </c:barChart>
      <c:catAx>
        <c:axId val="62751757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27517968"/>
        <c:crosses val="autoZero"/>
        <c:auto val="1"/>
        <c:lblAlgn val="ctr"/>
        <c:lblOffset val="100"/>
        <c:noMultiLvlLbl val="0"/>
      </c:catAx>
      <c:valAx>
        <c:axId val="62751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27517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sstq.xlsx]Feuil5!Tableau croisé dynamique3</c:name>
    <c:fmtId val="-1"/>
  </c:pivotSource>
  <c:chart>
    <c:autoTitleDeleted val="1"/>
    <c:pivotFmts>
      <c:pivotFmt>
        <c:idx val="0"/>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1"/>
          <c:showSerName val="0"/>
          <c:showPercent val="1"/>
          <c:showBubbleSize val="0"/>
          <c:extLst>
            <c:ext xmlns:c15="http://schemas.microsoft.com/office/drawing/2012/chart" uri="{CE6537A1-D6FC-4f65-9D91-7224C49458BB}"/>
          </c:extLst>
        </c:dLbl>
      </c:pivotFmt>
      <c:pivotFmt>
        <c:idx val="6"/>
        <c:dLbl>
          <c:idx val="0"/>
          <c:layout>
            <c:manualLayout>
              <c:x val="-0.11252985564304462"/>
              <c:y val="7.7710702828813066E-2"/>
            </c:manualLayout>
          </c:layou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0.19767344706911635"/>
              <c:y val="1.2161344415281413E-2"/>
            </c:manualLayout>
          </c:layout>
          <c:showLegendKey val="0"/>
          <c:showVal val="0"/>
          <c:showCatName val="1"/>
          <c:showSerName val="0"/>
          <c:showPercent val="1"/>
          <c:showBubbleSize val="0"/>
          <c:extLst>
            <c:ext xmlns:c15="http://schemas.microsoft.com/office/drawing/2012/chart" uri="{CE6537A1-D6FC-4f65-9D91-7224C49458BB}"/>
          </c:extLst>
        </c:dLbl>
      </c:pivotFmt>
      <c:pivotFmt>
        <c:idx val="8"/>
        <c:dLbl>
          <c:idx val="0"/>
          <c:layout>
            <c:manualLayout>
              <c:x val="-7.6076334208223975E-2"/>
              <c:y val="-3.1051326917468651E-3"/>
            </c:manualLayout>
          </c:layout>
          <c:showLegendKey val="0"/>
          <c:showVal val="0"/>
          <c:showCatName val="1"/>
          <c:showSerName val="0"/>
          <c:showPercent val="1"/>
          <c:showBubbleSize val="0"/>
          <c:extLst>
            <c:ext xmlns:c15="http://schemas.microsoft.com/office/drawing/2012/chart" uri="{CE6537A1-D6FC-4f65-9D91-7224C49458BB}"/>
          </c:extLst>
        </c:dLbl>
      </c:pivotFmt>
      <c:pivotFmt>
        <c:idx val="9"/>
        <c:dLbl>
          <c:idx val="0"/>
          <c:layout>
            <c:manualLayout>
              <c:x val="3.8042979002624669E-2"/>
              <c:y val="-2.1890492855059784E-3"/>
            </c:manualLayout>
          </c:layout>
          <c:showLegendKey val="0"/>
          <c:showVal val="0"/>
          <c:showCatName val="1"/>
          <c:showSerName val="0"/>
          <c:showPercent val="1"/>
          <c:showBubbleSize val="0"/>
          <c:extLst>
            <c:ext xmlns:c15="http://schemas.microsoft.com/office/drawing/2012/chart" uri="{CE6537A1-D6FC-4f65-9D91-7224C49458BB}"/>
          </c:extLst>
        </c:dLbl>
      </c:pivotFmt>
      <c:pivotFmt>
        <c:idx val="10"/>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1"/>
        <c:dLbl>
          <c:idx val="0"/>
          <c:layout>
            <c:manualLayout>
              <c:x val="-0.12501268591426071"/>
              <c:y val="2.393044619422572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2"/>
        <c:dLbl>
          <c:idx val="0"/>
          <c:layout>
            <c:manualLayout>
              <c:x val="-1.1574146981627297E-2"/>
              <c:y val="2.5138524351122778E-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3"/>
        <c:dLbl>
          <c:idx val="0"/>
          <c:layout>
            <c:manualLayout>
              <c:x val="4.0535870516185478E-2"/>
              <c:y val="-5.1434091571886935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4"/>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15"/>
        <c:dLbl>
          <c:idx val="0"/>
          <c:layout>
            <c:manualLayout>
              <c:x val="5.664479440069986E-2"/>
              <c:y val="-3.751822688830563E-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6"/>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17"/>
        <c:dLbl>
          <c:idx val="0"/>
          <c:layout>
            <c:manualLayout>
              <c:x val="3.5052493438320211E-2"/>
              <c:y val="-1.6738116068824731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8"/>
        <c:dLbl>
          <c:idx val="0"/>
          <c:layout>
            <c:manualLayout>
              <c:x val="-1.4774278215223096E-2"/>
              <c:y val="-2.8556430446194225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9"/>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0"/>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1"/>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2"/>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3"/>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4"/>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5"/>
        <c:dLbl>
          <c:idx val="0"/>
          <c:dLblPos val="bestFit"/>
          <c:showLegendKey val="0"/>
          <c:showVal val="0"/>
          <c:showCatName val="1"/>
          <c:showSerName val="0"/>
          <c:showPercent val="1"/>
          <c:showBubbleSize val="0"/>
          <c:extLst>
            <c:ext xmlns:c15="http://schemas.microsoft.com/office/drawing/2012/chart" uri="{CE6537A1-D6FC-4f65-9D91-7224C49458BB}"/>
          </c:extLst>
        </c:dLbl>
      </c:pivotFmt>
      <c:pivotFmt>
        <c:idx val="26"/>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7"/>
        <c:dLbl>
          <c:idx val="0"/>
          <c:layout>
            <c:manualLayout>
              <c:x val="-7.8256342957130354E-2"/>
              <c:y val="0.15497922134733158"/>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28"/>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29"/>
        <c:dLbl>
          <c:idx val="0"/>
          <c:layout>
            <c:manualLayout>
              <c:x val="-3.660159667541555E-2"/>
              <c:y val="2.786708953047535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0"/>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1"/>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2"/>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3"/>
        <c:dLbl>
          <c:idx val="0"/>
          <c:layout>
            <c:manualLayout>
              <c:x val="6.1596456692913387E-2"/>
              <c:y val="-4.0661271507728199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4"/>
        <c:dLbl>
          <c:idx val="0"/>
          <c:dLblPos val="bestFit"/>
          <c:showLegendKey val="0"/>
          <c:showVal val="0"/>
          <c:showCatName val="1"/>
          <c:showSerName val="0"/>
          <c:showPercent val="1"/>
          <c:showBubbleSize val="0"/>
          <c:extLst>
            <c:ext xmlns:c15="http://schemas.microsoft.com/office/drawing/2012/chart" uri="{CE6537A1-D6FC-4f65-9D91-7224C49458BB}">
              <c15:xForSave val="1"/>
            </c:ext>
          </c:extLst>
        </c:dLbl>
      </c:pivotFmt>
      <c:pivotFmt>
        <c:idx val="35"/>
        <c:dLbl>
          <c:idx val="0"/>
          <c:layout>
            <c:manualLayout>
              <c:x val="0.25081496062992126"/>
              <c:y val="1.304097404491105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6"/>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37"/>
        <c:dLbl>
          <c:idx val="0"/>
          <c:layout>
            <c:manualLayout>
              <c:x val="2.2222222222222223E-2"/>
              <c:y val="-6.4814814814814811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8"/>
        <c:dLbl>
          <c:idx val="0"/>
          <c:layout>
            <c:manualLayout>
              <c:x val="-7.4999999999999997E-2"/>
              <c:y val="1.8518518518518517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9"/>
        <c:dLbl>
          <c:idx val="0"/>
          <c:layout>
            <c:manualLayout>
              <c:x val="0"/>
              <c:y val="-4.6296296296296294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40"/>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1"/>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2"/>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3"/>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4"/>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5"/>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6"/>
        <c:dLbl>
          <c:idx val="0"/>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7"/>
        <c:dLbl>
          <c:idx val="0"/>
          <c:dLblPos val="outEnd"/>
          <c:showLegendKey val="0"/>
          <c:showVal val="0"/>
          <c:showCatName val="1"/>
          <c:showSerName val="0"/>
          <c:showPercent val="0"/>
          <c:showBubbleSize val="0"/>
          <c:extLst>
            <c:ext xmlns:c15="http://schemas.microsoft.com/office/drawing/2012/chart" uri="{CE6537A1-D6FC-4f65-9D91-7224C49458BB}"/>
          </c:extLst>
        </c:dLbl>
      </c:pivotFmt>
      <c:pivotFmt>
        <c:idx val="48"/>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49"/>
        <c:dLbl>
          <c:idx val="0"/>
          <c:showLegendKey val="0"/>
          <c:showVal val="0"/>
          <c:showCatName val="1"/>
          <c:showSerName val="0"/>
          <c:showPercent val="0"/>
          <c:showBubbleSize val="0"/>
          <c:extLst>
            <c:ext xmlns:c15="http://schemas.microsoft.com/office/drawing/2012/chart" uri="{CE6537A1-D6FC-4f65-9D91-7224C49458BB}">
              <c15:xForSave val="1"/>
            </c:ext>
          </c:extLst>
        </c:dLbl>
      </c:pivotFmt>
      <c:pivotFmt>
        <c:idx val="50"/>
        <c:dLbl>
          <c:idx val="0"/>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1"/>
        <c:dLbl>
          <c:idx val="0"/>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2"/>
        <c:dLbl>
          <c:idx val="0"/>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3"/>
        <c:dLbl>
          <c:idx val="0"/>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4"/>
        <c:dLbl>
          <c:idx val="0"/>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5"/>
        <c:dLbl>
          <c:idx val="0"/>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6"/>
        <c:dLbl>
          <c:idx val="0"/>
          <c:layout>
            <c:manualLayout>
              <c:x val="-1.0185067526415994E-16"/>
              <c:y val="-7.407407407407407E-2"/>
            </c:manualLayout>
          </c:layout>
          <c:dLblPos val="ctr"/>
          <c:showLegendKey val="0"/>
          <c:showVal val="1"/>
          <c:showCatName val="0"/>
          <c:showSerName val="0"/>
          <c:showPercent val="0"/>
          <c:showBubbleSize val="0"/>
          <c:extLst>
            <c:ext xmlns:c15="http://schemas.microsoft.com/office/drawing/2012/chart" uri="{CE6537A1-D6FC-4f65-9D91-7224C49458BB}"/>
          </c:extLst>
        </c:dLbl>
      </c:pivotFmt>
      <c:pivotFmt>
        <c:idx val="57"/>
        <c:dLbl>
          <c:idx val="0"/>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8"/>
        <c:dLbl>
          <c:idx val="0"/>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6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pivotFmt>
      <c:pivotFmt>
        <c:idx val="61"/>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pivotFmt>
      <c:pivotFmt>
        <c:idx val="62"/>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pivotFmt>
      <c:pivotFmt>
        <c:idx val="63"/>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pivotFmt>
      <c:pivotFmt>
        <c:idx val="64"/>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pivotFmt>
      <c:pivotFmt>
        <c:idx val="65"/>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pivotFmt>
      <c:pivotFmt>
        <c:idx val="66"/>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pivotFmt>
      <c:pivotFmt>
        <c:idx val="67"/>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pivotFmt>
      <c:pivotFmt>
        <c:idx val="68"/>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pivotFmt>
      <c:pivotFmt>
        <c:idx val="6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none"/>
        </c:marker>
        <c:dLbl>
          <c:idx val="0"/>
          <c:spPr>
            <a:solidFill>
              <a:sysClr val="window" lastClr="FFFFFF"/>
            </a:solidFill>
            <a:ln>
              <a:solidFill>
                <a:sysClr val="windowText" lastClr="000000">
                  <a:lumMod val="25000"/>
                  <a:lumOff val="75000"/>
                  <a:alpha val="96000"/>
                </a:sysClr>
              </a:solid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7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Lbl>
          <c:idx val="0"/>
          <c:layout>
            <c:manualLayout>
              <c:x val="-8.0425415573053369E-2"/>
              <c:y val="-0.13613371245261"/>
            </c:manualLayout>
          </c:layout>
          <c:spPr>
            <a:solidFill>
              <a:sysClr val="window" lastClr="FFFFFF"/>
            </a:solidFill>
            <a:ln>
              <a:solidFill>
                <a:sysClr val="windowText" lastClr="000000">
                  <a:lumMod val="25000"/>
                  <a:lumOff val="75000"/>
                  <a:alpha val="96000"/>
                </a:sysClr>
              </a:solid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71"/>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72"/>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7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74"/>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7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7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77"/>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Lbl>
          <c:idx val="0"/>
          <c:layout>
            <c:manualLayout>
              <c:x val="1.1619203849518809E-2"/>
              <c:y val="4.1303222513852433E-2"/>
            </c:manualLayout>
          </c:layout>
          <c:spPr>
            <a:solidFill>
              <a:sysClr val="window" lastClr="FFFFFF"/>
            </a:solidFill>
            <a:ln>
              <a:solidFill>
                <a:sysClr val="windowText" lastClr="000000">
                  <a:lumMod val="25000"/>
                  <a:lumOff val="75000"/>
                  <a:alpha val="96000"/>
                </a:sysClr>
              </a:solid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78"/>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7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Lbl>
          <c:idx val="0"/>
          <c:layout>
            <c:manualLayout>
              <c:x val="0.13007502187226597"/>
              <c:y val="8.0735637212015168E-2"/>
            </c:manualLayout>
          </c:layout>
          <c:spPr>
            <a:solidFill>
              <a:sysClr val="window" lastClr="FFFFFF"/>
            </a:solidFill>
            <a:ln>
              <a:solidFill>
                <a:sysClr val="windowText" lastClr="000000">
                  <a:lumMod val="25000"/>
                  <a:lumOff val="75000"/>
                  <a:alpha val="96000"/>
                </a:sysClr>
              </a:solid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8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marker>
          <c:symbol val="none"/>
        </c:marker>
        <c:dLbl>
          <c:idx val="0"/>
          <c:spPr>
            <a:solidFill>
              <a:sysClr val="window" lastClr="FFFFFF"/>
            </a:solidFill>
            <a:ln>
              <a:solidFill>
                <a:sysClr val="windowText" lastClr="000000">
                  <a:lumMod val="25000"/>
                  <a:lumOff val="75000"/>
                  <a:alpha val="96000"/>
                </a:sysClr>
              </a:solid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81"/>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Lbl>
          <c:idx val="0"/>
          <c:layout>
            <c:manualLayout>
              <c:x val="-8.0425415573053369E-2"/>
              <c:y val="-0.13613371245261"/>
            </c:manualLayout>
          </c:layout>
          <c:spPr>
            <a:solidFill>
              <a:sysClr val="window" lastClr="FFFFFF"/>
            </a:solidFill>
            <a:ln>
              <a:solidFill>
                <a:sysClr val="windowText" lastClr="000000">
                  <a:lumMod val="25000"/>
                  <a:lumOff val="75000"/>
                  <a:alpha val="96000"/>
                </a:sysClr>
              </a:solid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82"/>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83"/>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84"/>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85"/>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8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87"/>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88"/>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Lbl>
          <c:idx val="0"/>
          <c:layout>
            <c:manualLayout>
              <c:x val="1.1619203849518809E-2"/>
              <c:y val="4.1303222513852433E-2"/>
            </c:manualLayout>
          </c:layout>
          <c:spPr>
            <a:solidFill>
              <a:sysClr val="window" lastClr="FFFFFF"/>
            </a:solidFill>
            <a:ln>
              <a:solidFill>
                <a:sysClr val="windowText" lastClr="000000">
                  <a:lumMod val="25000"/>
                  <a:lumOff val="75000"/>
                  <a:alpha val="96000"/>
                </a:sysClr>
              </a:solid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89"/>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pivotFmt>
      <c:pivotFmt>
        <c:idx val="9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Lbl>
          <c:idx val="0"/>
          <c:layout>
            <c:manualLayout>
              <c:x val="0.13007502187226597"/>
              <c:y val="8.0735637212015168E-2"/>
            </c:manualLayout>
          </c:layout>
          <c:spPr>
            <a:solidFill>
              <a:sysClr val="window" lastClr="FFFFFF"/>
            </a:solidFill>
            <a:ln>
              <a:solidFill>
                <a:sysClr val="windowText" lastClr="000000">
                  <a:lumMod val="25000"/>
                  <a:lumOff val="75000"/>
                  <a:alpha val="96000"/>
                </a:sysClr>
              </a:solid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s>
    <c:plotArea>
      <c:layout/>
      <c:pieChart>
        <c:varyColors val="1"/>
        <c:ser>
          <c:idx val="0"/>
          <c:order val="0"/>
          <c:tx>
            <c:strRef>
              <c:f>Feuil5!$B$1</c:f>
              <c:strCache>
                <c:ptCount val="1"/>
                <c:pt idx="0">
                  <c:v>Total</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dPt>
          <c:dPt>
            <c:idx val="9"/>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dPt>
          <c:dLbls>
            <c:dLbl>
              <c:idx val="0"/>
              <c:layout>
                <c:manualLayout>
                  <c:x val="-8.0425415573053369E-2"/>
                  <c:y val="-0.13613371245261"/>
                </c:manualLayout>
              </c:layout>
              <c:showLegendKey val="0"/>
              <c:showVal val="0"/>
              <c:showCatName val="1"/>
              <c:showSerName val="0"/>
              <c:showPercent val="1"/>
              <c:showBubbleSize val="0"/>
              <c:extLst>
                <c:ext xmlns:c15="http://schemas.microsoft.com/office/drawing/2012/chart" uri="{CE6537A1-D6FC-4f65-9D91-7224C49458BB}"/>
              </c:extLst>
            </c:dLbl>
            <c:dLbl>
              <c:idx val="7"/>
              <c:layout>
                <c:manualLayout>
                  <c:x val="1.1619203849518809E-2"/>
                  <c:y val="4.1303222513852433E-2"/>
                </c:manualLayout>
              </c:layout>
              <c:showLegendKey val="0"/>
              <c:showVal val="0"/>
              <c:showCatName val="1"/>
              <c:showSerName val="0"/>
              <c:showPercent val="1"/>
              <c:showBubbleSize val="0"/>
              <c:extLst>
                <c:ext xmlns:c15="http://schemas.microsoft.com/office/drawing/2012/chart" uri="{CE6537A1-D6FC-4f65-9D91-7224C49458BB}"/>
              </c:extLst>
            </c:dLbl>
            <c:dLbl>
              <c:idx val="9"/>
              <c:layout>
                <c:manualLayout>
                  <c:x val="0.13007502187226597"/>
                  <c:y val="8.0735637212015168E-2"/>
                </c:manualLayout>
              </c:layou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alpha val="96000"/>
                  </a:sysClr>
                </a:solid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Feuil5!$A$2:$A$12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Feuil5!$B$2:$B$12</c:f>
              <c:numCache>
                <c:formatCode>General</c:formatCode>
                <c:ptCount val="10"/>
                <c:pt idx="0">
                  <c:v>352</c:v>
                </c:pt>
                <c:pt idx="7">
                  <c:v>8</c:v>
                </c:pt>
                <c:pt idx="9">
                  <c:v>38</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[DR 2022 sstq.xlsx]Feuil3!Tableau croisé dynamique6</c:name>
    <c:fmtId val="-1"/>
  </c:pivotSource>
  <c:chart>
    <c:autoTitleDeleted val="1"/>
    <c:pivotFmts>
      <c:pivotFmt>
        <c:idx val="0"/>
        <c:spPr>
          <a:solidFill>
            <a:schemeClr val="accent1">
              <a:alpha val="70000"/>
            </a:schemeClr>
          </a:solidFill>
          <a:ln>
            <a:noFill/>
          </a:ln>
          <a:effectLst/>
        </c:spPr>
        <c:marker>
          <c:symbol val="circle"/>
          <c:size val="6"/>
          <c:spPr>
            <a:solidFill>
              <a:schemeClr val="accent1">
                <a:alpha val="70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Feuil3!$B$1</c:f>
              <c:strCache>
                <c:ptCount val="1"/>
                <c:pt idx="0">
                  <c:v>Total</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Feuil3!$A$2:$A$12</c:f>
              <c:strCache>
                <c:ptCount val="10"/>
                <c:pt idx="0">
                  <c:v>Analamanga</c:v>
                </c:pt>
                <c:pt idx="1">
                  <c:v>Betsiboka</c:v>
                </c:pt>
                <c:pt idx="2">
                  <c:v>Boeny</c:v>
                </c:pt>
                <c:pt idx="3">
                  <c:v>Bongolava</c:v>
                </c:pt>
                <c:pt idx="4">
                  <c:v>Diana</c:v>
                </c:pt>
                <c:pt idx="5">
                  <c:v>Itasy</c:v>
                </c:pt>
                <c:pt idx="6">
                  <c:v>Melaky</c:v>
                </c:pt>
                <c:pt idx="7">
                  <c:v>Sava</c:v>
                </c:pt>
                <c:pt idx="8">
                  <c:v>Sofia</c:v>
                </c:pt>
                <c:pt idx="9">
                  <c:v>Vakinankaratra</c:v>
                </c:pt>
              </c:strCache>
            </c:strRef>
          </c:cat>
          <c:val>
            <c:numRef>
              <c:f>Feuil3!$B$2:$B$12</c:f>
              <c:numCache>
                <c:formatCode>General</c:formatCode>
                <c:ptCount val="10"/>
                <c:pt idx="0">
                  <c:v>15</c:v>
                </c:pt>
                <c:pt idx="7">
                  <c:v>1</c:v>
                </c:pt>
              </c:numCache>
            </c:numRef>
          </c:val>
        </c:ser>
        <c:dLbls>
          <c:dLblPos val="outEnd"/>
          <c:showLegendKey val="0"/>
          <c:showVal val="1"/>
          <c:showCatName val="0"/>
          <c:showSerName val="0"/>
          <c:showPercent val="0"/>
          <c:showBubbleSize val="0"/>
        </c:dLbls>
        <c:gapWidth val="80"/>
        <c:overlap val="25"/>
        <c:axId val="739346856"/>
        <c:axId val="739350776"/>
      </c:barChart>
      <c:catAx>
        <c:axId val="73934685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fr-FR"/>
          </a:p>
        </c:txPr>
        <c:crossAx val="739350776"/>
        <c:crosses val="autoZero"/>
        <c:auto val="1"/>
        <c:lblAlgn val="ctr"/>
        <c:lblOffset val="100"/>
        <c:noMultiLvlLbl val="0"/>
      </c:catAx>
      <c:valAx>
        <c:axId val="73935077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fr-FR"/>
          </a:p>
        </c:txPr>
        <c:crossAx val="7393468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3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gradFill>
    </cs:spPr>
  </cs:dataPoint>
  <cs:dataPoint3D>
    <cs:lnRef idx="0"/>
    <cs:fillRef idx="0">
      <cs:styleClr val="auto"/>
    </cs:fillRef>
    <cs:effectRef idx="0"/>
    <cs:fontRef idx="minor">
      <a:schemeClr val="tx1"/>
    </cs:fontRef>
    <cs:spPr>
      <a:gradFill flip="none" rotWithShape="1">
        <a:gsLst>
          <a:gs pos="100000">
            <a:schemeClr val="phClr">
              <a:alpha val="0"/>
            </a:schemeClr>
          </a:gs>
          <a:gs pos="50000">
            <a:schemeClr val="phClr"/>
          </a:gs>
        </a:gsLst>
        <a:lin ang="10800000" scaled="1"/>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9F5B8-2191-4651-84F2-B74EDE9BE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22</Pages>
  <Words>1878</Words>
  <Characters>10333</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dc:creator>
  <cp:keywords/>
  <dc:description/>
  <cp:lastModifiedBy>SOR</cp:lastModifiedBy>
  <cp:revision>3</cp:revision>
  <dcterms:created xsi:type="dcterms:W3CDTF">2024-04-18T17:02:00Z</dcterms:created>
  <dcterms:modified xsi:type="dcterms:W3CDTF">2024-04-27T12:31:00Z</dcterms:modified>
</cp:coreProperties>
</file>